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1121DB" w14:textId="77777777" w:rsidR="00526E61" w:rsidRPr="008F5E4E" w:rsidRDefault="00526E61" w:rsidP="00526E61">
      <w:pPr>
        <w:bidi/>
        <w:spacing w:before="240"/>
        <w:jc w:val="center"/>
        <w:outlineLvl w:val="0"/>
        <w:rPr>
          <w:rFonts w:eastAsia="Times New Roman"/>
          <w:bCs/>
          <w:sz w:val="32"/>
          <w:szCs w:val="36"/>
        </w:rPr>
      </w:pPr>
      <w:bookmarkStart w:id="0" w:name="_GoBack"/>
      <w:bookmarkEnd w:id="0"/>
      <w:r w:rsidRPr="008F5E4E">
        <w:rPr>
          <w:rFonts w:eastAsia="Times New Roman"/>
          <w:bCs/>
          <w:sz w:val="32"/>
          <w:szCs w:val="36"/>
          <w:rtl/>
        </w:rPr>
        <w:t>טיוטת כללים</w:t>
      </w:r>
    </w:p>
    <w:p w14:paraId="634C96CA" w14:textId="77777777" w:rsidR="00526E61" w:rsidRPr="008F5E4E" w:rsidRDefault="00526E61" w:rsidP="00526E61">
      <w:pPr>
        <w:bidi/>
        <w:rPr>
          <w:rFonts w:eastAsia="Calibri"/>
          <w:rtl/>
        </w:rPr>
      </w:pPr>
    </w:p>
    <w:p w14:paraId="0C41A11F" w14:textId="16987F10" w:rsidR="00526E61" w:rsidRPr="00BD7F1E" w:rsidRDefault="00526E61" w:rsidP="00BD7F1E">
      <w:pPr>
        <w:pStyle w:val="ListParagraph"/>
        <w:numPr>
          <w:ilvl w:val="0"/>
          <w:numId w:val="7"/>
        </w:numPr>
        <w:bidi/>
        <w:spacing w:before="40" w:after="120"/>
        <w:outlineLvl w:val="3"/>
        <w:rPr>
          <w:rFonts w:eastAsia="Calibri"/>
          <w:b/>
          <w:bCs/>
          <w:color w:val="000000"/>
          <w:szCs w:val="28"/>
          <w:rtl/>
        </w:rPr>
      </w:pPr>
      <w:r w:rsidRPr="00BD7F1E">
        <w:rPr>
          <w:rFonts w:eastAsia="Calibri"/>
          <w:b/>
          <w:bCs/>
          <w:color w:val="000000"/>
          <w:szCs w:val="28"/>
          <w:rtl/>
        </w:rPr>
        <w:t>שם הכללים המוצעים</w:t>
      </w:r>
    </w:p>
    <w:p w14:paraId="6859C2C9" w14:textId="0955AB3F" w:rsidR="00526E61" w:rsidRPr="00D21233" w:rsidRDefault="001455F4" w:rsidP="00D21233">
      <w:pPr>
        <w:bidi/>
        <w:spacing w:before="40" w:after="120" w:line="360" w:lineRule="auto"/>
        <w:jc w:val="both"/>
        <w:outlineLvl w:val="3"/>
        <w:rPr>
          <w:rFonts w:eastAsia="Arial Unicode MS"/>
          <w:snapToGrid w:val="0"/>
          <w:sz w:val="20"/>
          <w:szCs w:val="26"/>
        </w:rPr>
      </w:pPr>
      <w:r>
        <w:rPr>
          <w:rFonts w:eastAsia="Arial Unicode MS" w:hint="cs"/>
          <w:snapToGrid w:val="0"/>
          <w:sz w:val="20"/>
          <w:szCs w:val="26"/>
          <w:rtl/>
        </w:rPr>
        <w:t xml:space="preserve">טיוטת </w:t>
      </w:r>
      <w:r w:rsidR="00D21233" w:rsidRPr="00D21233">
        <w:rPr>
          <w:rFonts w:eastAsia="Arial Unicode MS"/>
          <w:snapToGrid w:val="0"/>
          <w:sz w:val="20"/>
          <w:szCs w:val="26"/>
          <w:rtl/>
        </w:rPr>
        <w:t>כללי התחרות הכלכלית (פטור סוג להסדרים בין מובילים באוויר) (מס' 2)</w:t>
      </w:r>
      <w:r w:rsidR="00D21233" w:rsidRPr="00D21233">
        <w:rPr>
          <w:rFonts w:eastAsia="Arial Unicode MS" w:hint="cs"/>
          <w:snapToGrid w:val="0"/>
          <w:sz w:val="20"/>
          <w:szCs w:val="26"/>
          <w:rtl/>
        </w:rPr>
        <w:t xml:space="preserve"> (תיקון) </w:t>
      </w:r>
      <w:proofErr w:type="spellStart"/>
      <w:r w:rsidR="00D21233" w:rsidRPr="00D21233">
        <w:rPr>
          <w:rFonts w:eastAsia="Arial Unicode MS" w:hint="cs"/>
          <w:snapToGrid w:val="0"/>
          <w:sz w:val="20"/>
          <w:szCs w:val="26"/>
          <w:rtl/>
        </w:rPr>
        <w:t>ה</w:t>
      </w:r>
      <w:r w:rsidR="00D21233" w:rsidRPr="00D21233">
        <w:rPr>
          <w:rFonts w:eastAsia="Arial Unicode MS"/>
          <w:snapToGrid w:val="0"/>
          <w:sz w:val="20"/>
          <w:szCs w:val="26"/>
          <w:rtl/>
        </w:rPr>
        <w:t>תשפ"</w:t>
      </w:r>
      <w:r w:rsidR="00D21233" w:rsidRPr="00D21233">
        <w:rPr>
          <w:rFonts w:eastAsia="Arial Unicode MS" w:hint="cs"/>
          <w:snapToGrid w:val="0"/>
          <w:sz w:val="20"/>
          <w:szCs w:val="26"/>
          <w:rtl/>
        </w:rPr>
        <w:t>ה</w:t>
      </w:r>
      <w:proofErr w:type="spellEnd"/>
      <w:r w:rsidR="00D21233" w:rsidRPr="00D21233">
        <w:rPr>
          <w:rFonts w:eastAsia="Arial Unicode MS" w:hint="cs"/>
          <w:snapToGrid w:val="0"/>
          <w:sz w:val="20"/>
          <w:szCs w:val="26"/>
          <w:rtl/>
        </w:rPr>
        <w:t xml:space="preserve"> -</w:t>
      </w:r>
      <w:r w:rsidR="00D21233" w:rsidRPr="00D21233">
        <w:rPr>
          <w:rFonts w:eastAsia="Arial Unicode MS"/>
          <w:snapToGrid w:val="0"/>
          <w:sz w:val="20"/>
          <w:szCs w:val="26"/>
          <w:rtl/>
        </w:rPr>
        <w:t>202</w:t>
      </w:r>
      <w:r w:rsidR="00D21233" w:rsidRPr="00D21233">
        <w:rPr>
          <w:rFonts w:eastAsia="Arial Unicode MS" w:hint="cs"/>
          <w:snapToGrid w:val="0"/>
          <w:sz w:val="20"/>
          <w:szCs w:val="26"/>
          <w:rtl/>
        </w:rPr>
        <w:t>5</w:t>
      </w:r>
    </w:p>
    <w:p w14:paraId="374095F1" w14:textId="62CCE63D" w:rsidR="00526E61" w:rsidRPr="00BD7F1E" w:rsidRDefault="00526E61" w:rsidP="00BD7F1E">
      <w:pPr>
        <w:pStyle w:val="ListParagraph"/>
        <w:numPr>
          <w:ilvl w:val="0"/>
          <w:numId w:val="7"/>
        </w:numPr>
        <w:bidi/>
        <w:spacing w:before="40" w:after="120" w:line="360" w:lineRule="auto"/>
        <w:jc w:val="both"/>
        <w:outlineLvl w:val="3"/>
        <w:rPr>
          <w:rFonts w:eastAsia="Calibri"/>
          <w:b/>
          <w:bCs/>
          <w:color w:val="000000"/>
          <w:szCs w:val="28"/>
          <w:rtl/>
        </w:rPr>
      </w:pPr>
      <w:r w:rsidRPr="00BD7F1E">
        <w:rPr>
          <w:rFonts w:eastAsia="Calibri"/>
          <w:b/>
          <w:bCs/>
          <w:color w:val="000000"/>
          <w:szCs w:val="28"/>
          <w:rtl/>
        </w:rPr>
        <w:t xml:space="preserve">מטרת הכללים המוצעים והצורך בהם </w:t>
      </w:r>
    </w:p>
    <w:p w14:paraId="5E2C1FD8" w14:textId="77777777" w:rsidR="00F675EC" w:rsidRPr="00DC2BAE" w:rsidRDefault="00F675EC" w:rsidP="00E8222A">
      <w:pPr>
        <w:pStyle w:val="ListParagraph"/>
        <w:numPr>
          <w:ilvl w:val="0"/>
          <w:numId w:val="6"/>
        </w:numPr>
        <w:bidi/>
        <w:spacing w:line="360" w:lineRule="auto"/>
        <w:jc w:val="both"/>
        <w:rPr>
          <w:sz w:val="26"/>
          <w:szCs w:val="26"/>
          <w:rtl/>
        </w:rPr>
      </w:pPr>
      <w:bookmarkStart w:id="1" w:name="_Hlk210146226"/>
      <w:r w:rsidRPr="00DC2BAE">
        <w:rPr>
          <w:sz w:val="26"/>
          <w:szCs w:val="26"/>
          <w:rtl/>
        </w:rPr>
        <w:t xml:space="preserve">בשנת 2013 הותקנו כללי התחרות הכלכלית (פטור סוג להסדרים בין מובילים באוויר) (מס' 2) (הוראת שעה), תשע"ד-2013 (להלן </w:t>
      </w:r>
      <w:r w:rsidRPr="002675E2">
        <w:rPr>
          <w:b/>
          <w:bCs/>
          <w:sz w:val="26"/>
          <w:szCs w:val="26"/>
          <w:rtl/>
        </w:rPr>
        <w:t>הפטור האווירי</w:t>
      </w:r>
      <w:r w:rsidRPr="00DC2BAE">
        <w:rPr>
          <w:sz w:val="26"/>
          <w:szCs w:val="26"/>
          <w:rtl/>
        </w:rPr>
        <w:t xml:space="preserve">), הפוטרים הסדרים תפעוליים וטכניים מסוימים, וכן מספר הסדרים המקובלים בתחום התעופה, כמו הסדרי נוסע מתמיד והסדרי קישוריות, מהצורך להגיש בקשת פטור מאישור הסדר כובל. הפטור האווירי בנוסחו הנוכחי, מאפשר לצדדים להסדרים כאמור, אשר עומדים בכללים הקבועים בפטור הסוג, ליהנות מ"נמל מבטחים" ולבצע את ההסדר ללא צורך בבחינה תחרותית מהותית של ההסדר. </w:t>
      </w:r>
    </w:p>
    <w:p w14:paraId="6BE98D25" w14:textId="77777777" w:rsidR="00F675EC" w:rsidRPr="00DC2BAE" w:rsidRDefault="00F675EC" w:rsidP="00E8222A">
      <w:pPr>
        <w:pStyle w:val="ListParagraph"/>
        <w:numPr>
          <w:ilvl w:val="0"/>
          <w:numId w:val="6"/>
        </w:numPr>
        <w:bidi/>
        <w:spacing w:line="360" w:lineRule="auto"/>
        <w:jc w:val="both"/>
        <w:rPr>
          <w:sz w:val="26"/>
          <w:szCs w:val="26"/>
          <w:rtl/>
        </w:rPr>
      </w:pPr>
      <w:r w:rsidRPr="00DC2BAE">
        <w:rPr>
          <w:sz w:val="26"/>
          <w:szCs w:val="26"/>
          <w:rtl/>
        </w:rPr>
        <w:t xml:space="preserve">בשנת 2018 תוקן הפטור האווירי, והתווסף לו סעיף 7א, אשר מאפשר לצדדים להסדרים בין מובילים באוויר שאינם עומדים בתנאי "נמל המבטחים", לבצע בחינה תחרותית מהותית של ההסדרים ולהוציא אותם אל הפועל, כל עוד עיקרם אינו בהפחתת או מניעת תחרות, הכבילות הנכללות בהם נחוצות למימוש עיקרם והכבילות שבהסדר אינן מגבילות את התחרות בחלק ניכר של השוק המושפע, או שהן עשויות להגביל את התחרות אך אינן פוגעות פגיעה מהותית בתחרות בשוק הרלוונטי (להלן </w:t>
      </w:r>
      <w:r w:rsidRPr="002C4656">
        <w:rPr>
          <w:b/>
          <w:bCs/>
          <w:sz w:val="26"/>
          <w:szCs w:val="26"/>
          <w:rtl/>
        </w:rPr>
        <w:t>תנאי הערכה עצמית</w:t>
      </w:r>
      <w:r w:rsidRPr="00DC2BAE">
        <w:rPr>
          <w:sz w:val="26"/>
          <w:szCs w:val="26"/>
          <w:rtl/>
        </w:rPr>
        <w:t xml:space="preserve">). כחלק מהתיקון, תוקף פטור הסוג הוארך לתקופה של חמש שנים, עד ל-1 בדצמבר 2023. לאחרונה, תוקף הפטור הוארך שוב למשך שנתיים, עד לתאריך 1 בדצמבר 2025. </w:t>
      </w:r>
    </w:p>
    <w:p w14:paraId="3C73B6B9" w14:textId="66AF81E6" w:rsidR="00F5381A" w:rsidRDefault="00F5381A" w:rsidP="00E8222A">
      <w:pPr>
        <w:pStyle w:val="ListParagraph"/>
        <w:numPr>
          <w:ilvl w:val="0"/>
          <w:numId w:val="6"/>
        </w:numPr>
        <w:bidi/>
        <w:spacing w:line="360" w:lineRule="auto"/>
        <w:jc w:val="both"/>
        <w:rPr>
          <w:sz w:val="26"/>
          <w:szCs w:val="26"/>
        </w:rPr>
      </w:pPr>
      <w:r w:rsidRPr="00DC2BAE">
        <w:rPr>
          <w:sz w:val="26"/>
          <w:szCs w:val="26"/>
          <w:rtl/>
        </w:rPr>
        <w:t xml:space="preserve">כלומר, נכון להיום, פטור הסוג האווירי כולל שני מסלולים – מסלול אחד של "נמל מבטחים" ומסלול שני של בחינה תחרותית מהותית. כאשר הסדר חוסה תחת פטור הסוג מאחר שהוא מקיים את תנאי "נמל מבטחים", אזי אין ביכולתה של רשות התחרות לבצע בגינו אכיפה בדיעבד. על פניו כללי "נמל המבטחים" אמורים להבטיח שההסדרים החוסים תחתם אינם פוגעים בתחרות, אך מכיוון שמדובר בכללים מובנים וקשיחים, כשמנגד המציאות היא דבר דינמי ומשתנה – יכול שיחסה תחת נמל המבטחים גם הסדר שעלול לפגוע בתחרות.   </w:t>
      </w:r>
    </w:p>
    <w:p w14:paraId="76173A87" w14:textId="60060F70" w:rsidR="00704B00" w:rsidRPr="00DC2BAE" w:rsidRDefault="00704B00" w:rsidP="00704B00">
      <w:pPr>
        <w:pStyle w:val="ListParagraph"/>
        <w:numPr>
          <w:ilvl w:val="0"/>
          <w:numId w:val="6"/>
        </w:numPr>
        <w:bidi/>
        <w:spacing w:line="360" w:lineRule="auto"/>
        <w:jc w:val="both"/>
        <w:rPr>
          <w:sz w:val="26"/>
          <w:szCs w:val="26"/>
          <w:rtl/>
        </w:rPr>
      </w:pPr>
      <w:bookmarkStart w:id="2" w:name="_Hlk210159416"/>
      <w:r w:rsidRPr="00704B00">
        <w:rPr>
          <w:rFonts w:hint="cs"/>
          <w:sz w:val="26"/>
          <w:szCs w:val="26"/>
          <w:rtl/>
        </w:rPr>
        <w:t>טיוטת הפטור האווירי</w:t>
      </w:r>
      <w:r>
        <w:rPr>
          <w:rFonts w:hint="cs"/>
          <w:sz w:val="26"/>
          <w:szCs w:val="26"/>
          <w:rtl/>
        </w:rPr>
        <w:t xml:space="preserve"> הנוכחית,</w:t>
      </w:r>
      <w:r w:rsidRPr="00704B00">
        <w:rPr>
          <w:rFonts w:hint="cs"/>
          <w:sz w:val="26"/>
          <w:szCs w:val="26"/>
          <w:rtl/>
        </w:rPr>
        <w:t xml:space="preserve"> מציעה לצמצם את </w:t>
      </w:r>
      <w:r w:rsidRPr="00704B00">
        <w:rPr>
          <w:sz w:val="26"/>
          <w:szCs w:val="26"/>
          <w:rtl/>
        </w:rPr>
        <w:t xml:space="preserve">היקף </w:t>
      </w:r>
      <w:r w:rsidRPr="00704B00">
        <w:rPr>
          <w:rFonts w:hint="cs"/>
          <w:sz w:val="26"/>
          <w:szCs w:val="26"/>
          <w:rtl/>
        </w:rPr>
        <w:t>הפטור האווירי</w:t>
      </w:r>
      <w:r w:rsidRPr="00704B00">
        <w:rPr>
          <w:sz w:val="26"/>
          <w:szCs w:val="26"/>
          <w:rtl/>
        </w:rPr>
        <w:t>, כך שיי</w:t>
      </w:r>
      <w:r w:rsidRPr="00704B00">
        <w:rPr>
          <w:rFonts w:hint="cs"/>
          <w:sz w:val="26"/>
          <w:szCs w:val="26"/>
          <w:rtl/>
        </w:rPr>
        <w:t>וות</w:t>
      </w:r>
      <w:r w:rsidRPr="00704B00">
        <w:rPr>
          <w:sz w:val="26"/>
          <w:szCs w:val="26"/>
          <w:rtl/>
        </w:rPr>
        <w:t xml:space="preserve">ר רק החלק המתבסס על בחינה עצמית של ההסדרים, תוך ביטול </w:t>
      </w:r>
      <w:r w:rsidRPr="00704B00">
        <w:rPr>
          <w:rFonts w:hint="cs"/>
          <w:sz w:val="26"/>
          <w:szCs w:val="26"/>
          <w:rtl/>
        </w:rPr>
        <w:t>החלק שמעניק "נמל מבטחים"</w:t>
      </w:r>
      <w:r w:rsidRPr="00704B00">
        <w:rPr>
          <w:sz w:val="26"/>
          <w:szCs w:val="26"/>
          <w:rtl/>
        </w:rPr>
        <w:t xml:space="preserve"> להסדרים מסוימים</w:t>
      </w:r>
      <w:r w:rsidRPr="00704B00">
        <w:rPr>
          <w:sz w:val="26"/>
          <w:szCs w:val="26"/>
        </w:rPr>
        <w:t>.</w:t>
      </w:r>
      <w:bookmarkEnd w:id="2"/>
    </w:p>
    <w:p w14:paraId="4651DDB3" w14:textId="1954D657" w:rsidR="0039784B" w:rsidRPr="00586F00" w:rsidRDefault="0039784B" w:rsidP="00DC2BAE">
      <w:pPr>
        <w:pStyle w:val="ListParagraph"/>
        <w:numPr>
          <w:ilvl w:val="0"/>
          <w:numId w:val="6"/>
        </w:numPr>
        <w:bidi/>
        <w:spacing w:after="200" w:line="360" w:lineRule="auto"/>
        <w:jc w:val="both"/>
        <w:rPr>
          <w:rFonts w:ascii="Alef" w:hAnsi="Alef" w:cs="Alef"/>
          <w:sz w:val="26"/>
          <w:szCs w:val="26"/>
        </w:rPr>
      </w:pPr>
      <w:r w:rsidRPr="00E8222A">
        <w:rPr>
          <w:rFonts w:eastAsia="Times New Roman"/>
          <w:color w:val="000000"/>
          <w:sz w:val="26"/>
          <w:szCs w:val="26"/>
          <w:rtl/>
        </w:rPr>
        <w:t xml:space="preserve">התועלת במעבר לביצוע בחינה עצמית, היא רבה. בבחינה עצמית, הצדדים מבצעים בעצמם בדיקה כלכלית הבוחנת האם ההסדר הספציפי שלהם מעלה חשש לפגיעה משמעותית בתחרות בשוק, לאורך משך קיומו. רק כאשר התשובה שלילית, הם רשאים לבצע את ההסדר. יחד עם זאת, ככל שהצדדים שגו בהערכה שביצעו להסדר ומדובר בהסדר שמעלה חשש לפגיעה משמעותית בתחרות בשוק, שאינו עומד בתנאי ההערכה העצמית, הרי שמדובר על הסדר כובל אסור על פי חוק התחרות, ולממונה על התחרות סמכות לאכוף כנגד הצדדים לו בגין עריכתו ולהטיל עליהם את הסנקציות הקבועות בחוק, </w:t>
      </w:r>
      <w:r w:rsidRPr="00E8222A">
        <w:rPr>
          <w:rFonts w:eastAsia="Times New Roman"/>
          <w:color w:val="000000"/>
          <w:sz w:val="26"/>
          <w:szCs w:val="26"/>
          <w:rtl/>
        </w:rPr>
        <w:lastRenderedPageBreak/>
        <w:t>למשל, עיצומים כספיים. כמו כן, כחלק מההערכה העצמית, על הצדדים להבטיח כי תנאי ההערכה עצמית מתקיימים ביחס להסדר לאורך כל חיי ההסדר. אין די בכך שהסדר מסוים עומד בתנאי הערכה עצמית ברגע תחילתו, אלא הוא צריך לעמוד בתנאים אלו לאורך כל חיי ההסדר. ככל שלאחר זמן מה הסדר לא עומד יותר בתנאי הערכה עצמית</w:t>
      </w:r>
      <w:r w:rsidRPr="00E8222A">
        <w:rPr>
          <w:sz w:val="26"/>
          <w:szCs w:val="26"/>
          <w:rtl/>
        </w:rPr>
        <w:t>, ההסדר אינו חוסה יותר תחת פטור הסוג, והופך לאסור על פי החוק. בנוסף, הסדרים "עירומים", כלומר, הסדרים שעיקרם בהפחתת תחרות או שהם כוללים כבילות שאין נחוצות למימוש עיקרם, אינם יכולים, בכל מקרה, לעבור את הבחינה העצמית ומדובר בהסדרים אסורים.</w:t>
      </w:r>
    </w:p>
    <w:p w14:paraId="1C78EE84" w14:textId="77777777" w:rsidR="00586F00" w:rsidRPr="00586F00" w:rsidRDefault="00586F00" w:rsidP="00586F00">
      <w:pPr>
        <w:pStyle w:val="ListParagraph"/>
        <w:numPr>
          <w:ilvl w:val="0"/>
          <w:numId w:val="6"/>
        </w:numPr>
        <w:bidi/>
        <w:spacing w:before="40" w:after="120" w:line="360" w:lineRule="auto"/>
        <w:jc w:val="both"/>
        <w:outlineLvl w:val="3"/>
        <w:rPr>
          <w:sz w:val="26"/>
          <w:szCs w:val="26"/>
        </w:rPr>
      </w:pPr>
      <w:r w:rsidRPr="00586F00">
        <w:rPr>
          <w:sz w:val="26"/>
          <w:szCs w:val="26"/>
          <w:rtl/>
        </w:rPr>
        <w:t xml:space="preserve">לאור העובדה </w:t>
      </w:r>
      <w:r w:rsidRPr="00586F00">
        <w:rPr>
          <w:rFonts w:hint="cs"/>
          <w:sz w:val="26"/>
          <w:szCs w:val="26"/>
          <w:rtl/>
        </w:rPr>
        <w:t>שהפטור האווירי</w:t>
      </w:r>
      <w:r w:rsidRPr="00586F00">
        <w:rPr>
          <w:sz w:val="26"/>
          <w:szCs w:val="26"/>
          <w:rtl/>
        </w:rPr>
        <w:t xml:space="preserve"> פוקע ביום </w:t>
      </w:r>
      <w:r w:rsidRPr="00586F00">
        <w:rPr>
          <w:rFonts w:hint="cs"/>
          <w:sz w:val="26"/>
          <w:szCs w:val="26"/>
          <w:rtl/>
        </w:rPr>
        <w:t xml:space="preserve">1 בדצמבר </w:t>
      </w:r>
      <w:r w:rsidRPr="00586F00">
        <w:rPr>
          <w:sz w:val="26"/>
          <w:szCs w:val="26"/>
          <w:rtl/>
        </w:rPr>
        <w:t>2025, רשות התחרות מכירה בכך ש</w:t>
      </w:r>
      <w:r w:rsidRPr="00586F00">
        <w:rPr>
          <w:rFonts w:hint="cs"/>
          <w:sz w:val="26"/>
          <w:szCs w:val="26"/>
          <w:rtl/>
        </w:rPr>
        <w:t>נדרשת תקופת התארגנות</w:t>
      </w:r>
      <w:r w:rsidRPr="00586F00">
        <w:rPr>
          <w:sz w:val="26"/>
          <w:szCs w:val="26"/>
          <w:rtl/>
        </w:rPr>
        <w:t xml:space="preserve">. על כן, מוצע להאריך את </w:t>
      </w:r>
      <w:r w:rsidRPr="00586F00">
        <w:rPr>
          <w:rFonts w:hint="cs"/>
          <w:sz w:val="26"/>
          <w:szCs w:val="26"/>
          <w:rtl/>
        </w:rPr>
        <w:t>הפטור האווירי</w:t>
      </w:r>
      <w:r w:rsidRPr="00586F00">
        <w:rPr>
          <w:sz w:val="26"/>
          <w:szCs w:val="26"/>
          <w:rtl/>
        </w:rPr>
        <w:t xml:space="preserve"> לתקופה של שישה חודשים נוספים, שיהוו תקופת התארגנות עבור תחום </w:t>
      </w:r>
      <w:r w:rsidRPr="00586F00">
        <w:rPr>
          <w:rFonts w:hint="cs"/>
          <w:sz w:val="26"/>
          <w:szCs w:val="26"/>
          <w:rtl/>
        </w:rPr>
        <w:t>התעופה</w:t>
      </w:r>
      <w:r w:rsidRPr="00586F00">
        <w:rPr>
          <w:sz w:val="26"/>
          <w:szCs w:val="26"/>
          <w:rtl/>
        </w:rPr>
        <w:t xml:space="preserve">, לפני </w:t>
      </w:r>
      <w:r w:rsidRPr="00586F00">
        <w:rPr>
          <w:rFonts w:hint="cs"/>
          <w:sz w:val="26"/>
          <w:szCs w:val="26"/>
          <w:rtl/>
        </w:rPr>
        <w:t>שינוי</w:t>
      </w:r>
      <w:r w:rsidRPr="00586F00">
        <w:rPr>
          <w:sz w:val="26"/>
          <w:szCs w:val="26"/>
          <w:rtl/>
        </w:rPr>
        <w:t>ו של הפטור באופן סופי</w:t>
      </w:r>
      <w:r w:rsidRPr="00586F00">
        <w:rPr>
          <w:sz w:val="26"/>
          <w:szCs w:val="26"/>
        </w:rPr>
        <w:t>.</w:t>
      </w:r>
    </w:p>
    <w:bookmarkEnd w:id="1"/>
    <w:p w14:paraId="5F16C975" w14:textId="77777777" w:rsidR="00586F00" w:rsidRPr="00586F00" w:rsidRDefault="00586F00" w:rsidP="00586F00">
      <w:pPr>
        <w:bidi/>
        <w:spacing w:after="200" w:line="360" w:lineRule="auto"/>
        <w:jc w:val="both"/>
        <w:rPr>
          <w:rFonts w:ascii="Alef" w:hAnsi="Alef" w:cs="Alef"/>
          <w:sz w:val="26"/>
          <w:szCs w:val="26"/>
        </w:rPr>
      </w:pPr>
    </w:p>
    <w:p w14:paraId="1D6B7030" w14:textId="77777777" w:rsidR="0039784B" w:rsidRPr="008F5E4E" w:rsidRDefault="0039784B" w:rsidP="00E8222A">
      <w:pPr>
        <w:pStyle w:val="ListParagraph"/>
        <w:bidi/>
        <w:spacing w:after="200" w:line="360" w:lineRule="auto"/>
        <w:ind w:left="540"/>
        <w:jc w:val="both"/>
        <w:rPr>
          <w:rFonts w:eastAsia="Times New Roman"/>
          <w:color w:val="000000"/>
          <w:sz w:val="26"/>
          <w:szCs w:val="26"/>
        </w:rPr>
      </w:pPr>
    </w:p>
    <w:p w14:paraId="76C7F274" w14:textId="77777777" w:rsidR="00384A1F" w:rsidRPr="008F5E4E" w:rsidRDefault="00384A1F" w:rsidP="00384A1F">
      <w:pPr>
        <w:bidi/>
        <w:spacing w:before="40" w:after="120" w:line="360" w:lineRule="auto"/>
        <w:jc w:val="both"/>
        <w:outlineLvl w:val="3"/>
        <w:rPr>
          <w:rFonts w:eastAsia="Calibri"/>
          <w:color w:val="000000"/>
          <w:szCs w:val="28"/>
          <w:rtl/>
        </w:rPr>
      </w:pPr>
    </w:p>
    <w:p w14:paraId="63EC9972" w14:textId="77777777" w:rsidR="00384A1F" w:rsidRPr="008F5E4E" w:rsidRDefault="00384A1F" w:rsidP="00384A1F">
      <w:pPr>
        <w:bidi/>
        <w:spacing w:before="40" w:after="120" w:line="360" w:lineRule="auto"/>
        <w:jc w:val="both"/>
        <w:outlineLvl w:val="3"/>
        <w:rPr>
          <w:rFonts w:eastAsia="Calibri"/>
          <w:color w:val="000000"/>
          <w:szCs w:val="28"/>
          <w:rtl/>
        </w:rPr>
      </w:pPr>
    </w:p>
    <w:p w14:paraId="2FA7FD99" w14:textId="77777777" w:rsidR="00384A1F" w:rsidRPr="008F5E4E" w:rsidRDefault="00384A1F" w:rsidP="00384A1F">
      <w:pPr>
        <w:bidi/>
        <w:spacing w:before="40" w:after="120" w:line="360" w:lineRule="auto"/>
        <w:jc w:val="both"/>
        <w:outlineLvl w:val="3"/>
        <w:rPr>
          <w:rFonts w:eastAsia="Calibri"/>
          <w:color w:val="000000"/>
          <w:szCs w:val="28"/>
          <w:rtl/>
        </w:rPr>
      </w:pPr>
    </w:p>
    <w:p w14:paraId="761661CA" w14:textId="77777777" w:rsidR="00384A1F" w:rsidRDefault="00384A1F" w:rsidP="00384A1F">
      <w:pPr>
        <w:bidi/>
        <w:spacing w:before="40" w:after="120" w:line="360" w:lineRule="auto"/>
        <w:jc w:val="both"/>
        <w:outlineLvl w:val="3"/>
        <w:rPr>
          <w:rFonts w:eastAsia="Calibri"/>
          <w:color w:val="000000"/>
          <w:szCs w:val="28"/>
          <w:rtl/>
        </w:rPr>
      </w:pPr>
    </w:p>
    <w:p w14:paraId="04CB92BC" w14:textId="2190BAE0" w:rsidR="00526E61" w:rsidRPr="00BD7F1E" w:rsidRDefault="00526E61" w:rsidP="00BD7F1E">
      <w:pPr>
        <w:pStyle w:val="ListParagraph"/>
        <w:numPr>
          <w:ilvl w:val="0"/>
          <w:numId w:val="7"/>
        </w:numPr>
        <w:bidi/>
        <w:spacing w:before="40" w:after="120"/>
        <w:outlineLvl w:val="3"/>
        <w:rPr>
          <w:rFonts w:eastAsia="Calibri"/>
          <w:b/>
          <w:bCs/>
          <w:color w:val="000000"/>
          <w:szCs w:val="28"/>
          <w:rtl/>
        </w:rPr>
      </w:pPr>
      <w:r w:rsidRPr="00BD7F1E">
        <w:rPr>
          <w:rFonts w:eastAsia="Calibri"/>
          <w:b/>
          <w:bCs/>
          <w:color w:val="000000"/>
          <w:szCs w:val="28"/>
          <w:rtl/>
        </w:rPr>
        <w:t xml:space="preserve">להלן נוסח טיוטת הכללים המוצעים: </w:t>
      </w:r>
    </w:p>
    <w:p w14:paraId="5A88F237" w14:textId="0D265454" w:rsidR="00D21233" w:rsidRPr="00E6387B" w:rsidRDefault="00D21233" w:rsidP="00774F4A">
      <w:pPr>
        <w:keepNext/>
        <w:keepLines/>
        <w:bidi/>
        <w:snapToGrid w:val="0"/>
        <w:spacing w:before="240"/>
        <w:jc w:val="center"/>
        <w:outlineLvl w:val="0"/>
        <w:rPr>
          <w:rFonts w:ascii="Arial" w:eastAsia="Arial Unicode MS" w:hAnsi="Arial"/>
          <w:b/>
          <w:bCs/>
          <w:snapToGrid w:val="0"/>
          <w:sz w:val="20"/>
          <w:szCs w:val="26"/>
          <w:rtl/>
        </w:rPr>
      </w:pPr>
      <w:r w:rsidRPr="00FA2348">
        <w:rPr>
          <w:rFonts w:ascii="Arial" w:eastAsia="Arial Unicode MS" w:hAnsi="Arial"/>
          <w:b/>
          <w:bCs/>
          <w:snapToGrid w:val="0"/>
          <w:sz w:val="20"/>
          <w:szCs w:val="26"/>
          <w:rtl/>
        </w:rPr>
        <w:t>כללי התחרות הכלכלית (פטור סוג להסדרים בין מובילים באוויר) (מס' 2</w:t>
      </w:r>
      <w:r w:rsidRPr="00E6387B">
        <w:rPr>
          <w:rFonts w:ascii="Arial" w:eastAsia="Arial Unicode MS" w:hAnsi="Arial"/>
          <w:b/>
          <w:bCs/>
          <w:snapToGrid w:val="0"/>
          <w:sz w:val="20"/>
          <w:szCs w:val="26"/>
          <w:rtl/>
        </w:rPr>
        <w:t>)</w:t>
      </w:r>
      <w:r w:rsidR="00774F4A">
        <w:rPr>
          <w:rFonts w:ascii="Arial" w:eastAsia="Arial Unicode MS" w:hAnsi="Arial" w:hint="cs"/>
          <w:b/>
          <w:bCs/>
          <w:snapToGrid w:val="0"/>
          <w:sz w:val="20"/>
          <w:szCs w:val="26"/>
          <w:rtl/>
        </w:rPr>
        <w:t xml:space="preserve"> </w:t>
      </w:r>
      <w:r w:rsidR="00774F4A" w:rsidRPr="00774F4A">
        <w:rPr>
          <w:rFonts w:ascii="Arial" w:eastAsia="Arial Unicode MS" w:hAnsi="Arial"/>
          <w:b/>
          <w:bCs/>
          <w:snapToGrid w:val="0"/>
          <w:sz w:val="20"/>
          <w:szCs w:val="26"/>
          <w:rtl/>
        </w:rPr>
        <w:t>(הוראת שעה)</w:t>
      </w:r>
      <w:r w:rsidRPr="00E6387B">
        <w:rPr>
          <w:rFonts w:ascii="Arial" w:eastAsia="Arial Unicode MS" w:hAnsi="Arial" w:hint="cs"/>
          <w:b/>
          <w:bCs/>
          <w:snapToGrid w:val="0"/>
          <w:sz w:val="20"/>
          <w:szCs w:val="26"/>
          <w:rtl/>
        </w:rPr>
        <w:t xml:space="preserve"> (תיקון) </w:t>
      </w:r>
      <w:proofErr w:type="spellStart"/>
      <w:r w:rsidRPr="00E6387B">
        <w:rPr>
          <w:rFonts w:ascii="Arial" w:eastAsia="Arial Unicode MS" w:hAnsi="Arial" w:hint="cs"/>
          <w:b/>
          <w:bCs/>
          <w:snapToGrid w:val="0"/>
          <w:sz w:val="20"/>
          <w:szCs w:val="26"/>
          <w:rtl/>
        </w:rPr>
        <w:t>ה</w:t>
      </w:r>
      <w:r w:rsidRPr="00E6387B">
        <w:rPr>
          <w:rFonts w:ascii="Arial" w:eastAsia="Arial Unicode MS" w:hAnsi="Arial"/>
          <w:b/>
          <w:bCs/>
          <w:snapToGrid w:val="0"/>
          <w:sz w:val="20"/>
          <w:szCs w:val="26"/>
          <w:rtl/>
        </w:rPr>
        <w:t>תשפ"</w:t>
      </w:r>
      <w:r w:rsidR="00762E73">
        <w:rPr>
          <w:rFonts w:ascii="Arial" w:eastAsia="Arial Unicode MS" w:hAnsi="Arial" w:hint="cs"/>
          <w:b/>
          <w:bCs/>
          <w:snapToGrid w:val="0"/>
          <w:sz w:val="20"/>
          <w:szCs w:val="26"/>
          <w:rtl/>
        </w:rPr>
        <w:t>ו</w:t>
      </w:r>
      <w:proofErr w:type="spellEnd"/>
      <w:r w:rsidRPr="00E6387B">
        <w:rPr>
          <w:rFonts w:ascii="Arial" w:eastAsia="Arial Unicode MS" w:hAnsi="Arial" w:hint="cs"/>
          <w:b/>
          <w:bCs/>
          <w:snapToGrid w:val="0"/>
          <w:sz w:val="20"/>
          <w:szCs w:val="26"/>
          <w:rtl/>
        </w:rPr>
        <w:t xml:space="preserve"> -</w:t>
      </w:r>
      <w:r w:rsidRPr="00E6387B">
        <w:rPr>
          <w:rFonts w:ascii="Arial" w:eastAsia="Arial Unicode MS" w:hAnsi="Arial"/>
          <w:b/>
          <w:bCs/>
          <w:snapToGrid w:val="0"/>
          <w:sz w:val="20"/>
          <w:szCs w:val="26"/>
          <w:rtl/>
        </w:rPr>
        <w:t>202</w:t>
      </w:r>
      <w:r w:rsidRPr="00E6387B">
        <w:rPr>
          <w:rFonts w:ascii="Arial" w:eastAsia="Arial Unicode MS" w:hAnsi="Arial" w:hint="cs"/>
          <w:b/>
          <w:bCs/>
          <w:snapToGrid w:val="0"/>
          <w:sz w:val="20"/>
          <w:szCs w:val="26"/>
          <w:rtl/>
        </w:rPr>
        <w:t>5</w:t>
      </w:r>
    </w:p>
    <w:tbl>
      <w:tblPr>
        <w:bidiVisual/>
        <w:tblW w:w="9641" w:type="dxa"/>
        <w:tblLayout w:type="fixed"/>
        <w:tblCellMar>
          <w:top w:w="57" w:type="dxa"/>
          <w:left w:w="0" w:type="dxa"/>
          <w:bottom w:w="57" w:type="dxa"/>
          <w:right w:w="0" w:type="dxa"/>
        </w:tblCellMar>
        <w:tblLook w:val="01E0" w:firstRow="1" w:lastRow="1" w:firstColumn="1" w:lastColumn="1" w:noHBand="0" w:noVBand="0"/>
      </w:tblPr>
      <w:tblGrid>
        <w:gridCol w:w="1871"/>
        <w:gridCol w:w="624"/>
        <w:gridCol w:w="7146"/>
      </w:tblGrid>
      <w:tr w:rsidR="00526E61" w:rsidRPr="008F5E4E" w14:paraId="577C358D" w14:textId="77777777">
        <w:trPr>
          <w:cantSplit/>
          <w:trHeight w:val="60"/>
        </w:trPr>
        <w:tc>
          <w:tcPr>
            <w:tcW w:w="1871" w:type="dxa"/>
          </w:tcPr>
          <w:p w14:paraId="08B14C1A" w14:textId="77777777" w:rsidR="00526E61" w:rsidRPr="008F5E4E" w:rsidRDefault="00526E61" w:rsidP="00526E61">
            <w:pPr>
              <w:keepLines/>
              <w:tabs>
                <w:tab w:val="left" w:pos="624"/>
                <w:tab w:val="left" w:pos="1247"/>
              </w:tabs>
              <w:bidi/>
              <w:snapToGrid w:val="0"/>
              <w:outlineLvl w:val="2"/>
              <w:rPr>
                <w:rFonts w:eastAsia="Arial Unicode MS"/>
                <w:snapToGrid w:val="0"/>
                <w:sz w:val="20"/>
                <w:szCs w:val="26"/>
                <w:rtl/>
              </w:rPr>
            </w:pPr>
          </w:p>
        </w:tc>
        <w:tc>
          <w:tcPr>
            <w:tcW w:w="624" w:type="dxa"/>
          </w:tcPr>
          <w:p w14:paraId="14C14050" w14:textId="77777777" w:rsidR="00526E61" w:rsidRPr="008F5E4E" w:rsidRDefault="00526E61" w:rsidP="00526E61">
            <w:pPr>
              <w:keepLines/>
              <w:tabs>
                <w:tab w:val="left" w:pos="624"/>
                <w:tab w:val="left" w:pos="1247"/>
              </w:tabs>
              <w:bidi/>
              <w:snapToGrid w:val="0"/>
              <w:rPr>
                <w:rFonts w:eastAsia="Arial Unicode MS"/>
                <w:snapToGrid w:val="0"/>
                <w:sz w:val="20"/>
                <w:szCs w:val="26"/>
              </w:rPr>
            </w:pPr>
          </w:p>
        </w:tc>
        <w:tc>
          <w:tcPr>
            <w:tcW w:w="7146" w:type="dxa"/>
            <w:hideMark/>
          </w:tcPr>
          <w:p w14:paraId="54CCFFBF" w14:textId="68DACFBE" w:rsidR="00526E61" w:rsidRPr="00762E73" w:rsidRDefault="00762E73" w:rsidP="00526E61">
            <w:pPr>
              <w:keepLines/>
              <w:tabs>
                <w:tab w:val="left" w:pos="624"/>
                <w:tab w:val="left" w:pos="1247"/>
              </w:tabs>
              <w:bidi/>
              <w:snapToGrid w:val="0"/>
              <w:jc w:val="both"/>
              <w:rPr>
                <w:rFonts w:eastAsia="Arial Unicode MS"/>
                <w:snapToGrid w:val="0"/>
                <w:sz w:val="26"/>
                <w:szCs w:val="26"/>
                <w:rtl/>
              </w:rPr>
            </w:pPr>
            <w:r w:rsidRPr="00762E73">
              <w:rPr>
                <w:sz w:val="26"/>
                <w:szCs w:val="26"/>
                <w:rtl/>
              </w:rPr>
              <w:t>בתוקף סמכותי לפי סעיף</w:t>
            </w:r>
            <w:r w:rsidRPr="00762E73">
              <w:rPr>
                <w:rFonts w:hint="cs"/>
                <w:sz w:val="26"/>
                <w:szCs w:val="26"/>
                <w:rtl/>
              </w:rPr>
              <w:t xml:space="preserve"> 15א(א)</w:t>
            </w:r>
            <w:r w:rsidRPr="00762E73">
              <w:rPr>
                <w:sz w:val="26"/>
                <w:szCs w:val="26"/>
                <w:rtl/>
              </w:rPr>
              <w:t xml:space="preserve"> לחוק </w:t>
            </w:r>
            <w:r w:rsidRPr="00762E73">
              <w:rPr>
                <w:rFonts w:hint="cs"/>
                <w:sz w:val="26"/>
                <w:szCs w:val="26"/>
                <w:rtl/>
              </w:rPr>
              <w:t>התחרות הכלכלית</w:t>
            </w:r>
            <w:r w:rsidRPr="00762E73">
              <w:rPr>
                <w:sz w:val="26"/>
                <w:szCs w:val="26"/>
                <w:rtl/>
              </w:rPr>
              <w:t>,</w:t>
            </w:r>
            <w:r w:rsidRPr="00762E73">
              <w:rPr>
                <w:rFonts w:hint="cs"/>
                <w:sz w:val="26"/>
                <w:szCs w:val="26"/>
                <w:rtl/>
              </w:rPr>
              <w:t xml:space="preserve"> התשמ"ח-1988</w:t>
            </w:r>
            <w:r w:rsidRPr="00762E73">
              <w:rPr>
                <w:rStyle w:val="FootnoteReference"/>
                <w:sz w:val="26"/>
                <w:szCs w:val="26"/>
                <w:rtl/>
              </w:rPr>
              <w:footnoteReference w:id="1"/>
            </w:r>
            <w:r w:rsidRPr="00762E73">
              <w:rPr>
                <w:rFonts w:hint="cs"/>
                <w:sz w:val="26"/>
                <w:szCs w:val="26"/>
                <w:rtl/>
              </w:rPr>
              <w:t>,</w:t>
            </w:r>
            <w:r w:rsidRPr="00762E73">
              <w:rPr>
                <w:sz w:val="26"/>
                <w:szCs w:val="26"/>
                <w:rtl/>
              </w:rPr>
              <w:t xml:space="preserve"> </w:t>
            </w:r>
            <w:r w:rsidRPr="00762E73">
              <w:rPr>
                <w:rFonts w:hint="cs"/>
                <w:sz w:val="26"/>
                <w:szCs w:val="26"/>
                <w:rtl/>
              </w:rPr>
              <w:t xml:space="preserve">ובאישור הוועדה לפטורים ומיזוגים, </w:t>
            </w:r>
            <w:r w:rsidRPr="00762E73">
              <w:rPr>
                <w:sz w:val="26"/>
                <w:szCs w:val="26"/>
                <w:rtl/>
              </w:rPr>
              <w:t>אני קובעת כללים אלה</w:t>
            </w:r>
            <w:r w:rsidR="00526E61" w:rsidRPr="00762E73">
              <w:rPr>
                <w:rFonts w:eastAsia="Arial Unicode MS"/>
                <w:snapToGrid w:val="0"/>
                <w:sz w:val="26"/>
                <w:szCs w:val="26"/>
                <w:rtl/>
              </w:rPr>
              <w:t>:</w:t>
            </w:r>
          </w:p>
        </w:tc>
      </w:tr>
      <w:tr w:rsidR="00526E61" w:rsidRPr="008F5E4E" w14:paraId="509F0AEB" w14:textId="77777777">
        <w:trPr>
          <w:cantSplit/>
          <w:trHeight w:val="60"/>
        </w:trPr>
        <w:tc>
          <w:tcPr>
            <w:tcW w:w="1871" w:type="dxa"/>
          </w:tcPr>
          <w:p w14:paraId="084FA7CC" w14:textId="61562D6C" w:rsidR="00526E61" w:rsidRPr="008F5E4E" w:rsidRDefault="00526E61" w:rsidP="00526E61">
            <w:pPr>
              <w:keepLines/>
              <w:tabs>
                <w:tab w:val="left" w:pos="624"/>
                <w:tab w:val="left" w:pos="1247"/>
              </w:tabs>
              <w:bidi/>
              <w:snapToGrid w:val="0"/>
              <w:outlineLvl w:val="2"/>
              <w:rPr>
                <w:rFonts w:eastAsia="Arial Unicode MS"/>
                <w:snapToGrid w:val="0"/>
                <w:sz w:val="20"/>
                <w:szCs w:val="26"/>
                <w:rtl/>
              </w:rPr>
            </w:pPr>
            <w:bookmarkStart w:id="3" w:name="_Toc27471880"/>
            <w:bookmarkStart w:id="4" w:name="_Toc39403447"/>
            <w:r w:rsidRPr="008F5E4E">
              <w:rPr>
                <w:rFonts w:eastAsia="Arial Unicode MS"/>
                <w:snapToGrid w:val="0"/>
                <w:sz w:val="20"/>
                <w:szCs w:val="26"/>
                <w:rtl/>
              </w:rPr>
              <w:t xml:space="preserve">תיקון </w:t>
            </w:r>
            <w:bookmarkEnd w:id="3"/>
            <w:bookmarkEnd w:id="4"/>
            <w:r w:rsidRPr="008F5E4E">
              <w:rPr>
                <w:rFonts w:eastAsia="Arial Unicode MS"/>
                <w:snapToGrid w:val="0"/>
                <w:sz w:val="20"/>
                <w:szCs w:val="26"/>
                <w:rtl/>
              </w:rPr>
              <w:t>סעיף 1</w:t>
            </w:r>
          </w:p>
          <w:p w14:paraId="531F4307" w14:textId="21658EC1" w:rsidR="00526E61" w:rsidRPr="008F5E4E" w:rsidRDefault="00526E61" w:rsidP="00526E61">
            <w:pPr>
              <w:keepLines/>
              <w:tabs>
                <w:tab w:val="left" w:pos="624"/>
                <w:tab w:val="left" w:pos="1247"/>
              </w:tabs>
              <w:bidi/>
              <w:snapToGrid w:val="0"/>
              <w:outlineLvl w:val="2"/>
              <w:rPr>
                <w:rFonts w:eastAsia="Arial Unicode MS"/>
                <w:snapToGrid w:val="0"/>
                <w:sz w:val="20"/>
                <w:szCs w:val="26"/>
                <w:rtl/>
              </w:rPr>
            </w:pPr>
          </w:p>
        </w:tc>
        <w:tc>
          <w:tcPr>
            <w:tcW w:w="624" w:type="dxa"/>
          </w:tcPr>
          <w:p w14:paraId="715B5774" w14:textId="77777777" w:rsidR="00526E61" w:rsidRPr="008F5E4E" w:rsidRDefault="00526E61" w:rsidP="00526E61">
            <w:pPr>
              <w:keepLines/>
              <w:numPr>
                <w:ilvl w:val="0"/>
                <w:numId w:val="1"/>
              </w:numPr>
              <w:tabs>
                <w:tab w:val="left" w:pos="624"/>
                <w:tab w:val="left" w:pos="1247"/>
              </w:tabs>
              <w:bidi/>
              <w:snapToGrid w:val="0"/>
              <w:rPr>
                <w:rFonts w:eastAsia="Arial Unicode MS"/>
                <w:snapToGrid w:val="0"/>
                <w:sz w:val="20"/>
                <w:szCs w:val="26"/>
              </w:rPr>
            </w:pPr>
          </w:p>
        </w:tc>
        <w:tc>
          <w:tcPr>
            <w:tcW w:w="7146" w:type="dxa"/>
          </w:tcPr>
          <w:p w14:paraId="5836FD44" w14:textId="23F8F5EB" w:rsidR="00254F1C" w:rsidRPr="00762E73" w:rsidRDefault="00B77624" w:rsidP="00807E8A">
            <w:pPr>
              <w:bidi/>
              <w:spacing w:line="360" w:lineRule="auto"/>
              <w:jc w:val="both"/>
              <w:rPr>
                <w:rFonts w:eastAsia="Arial Unicode MS"/>
                <w:b/>
                <w:bCs/>
                <w:snapToGrid w:val="0"/>
                <w:sz w:val="26"/>
                <w:szCs w:val="26"/>
              </w:rPr>
            </w:pPr>
            <w:r w:rsidRPr="00762E73">
              <w:rPr>
                <w:rFonts w:eastAsia="Arial Unicode MS"/>
                <w:snapToGrid w:val="0"/>
                <w:sz w:val="26"/>
                <w:szCs w:val="26"/>
                <w:rtl/>
              </w:rPr>
              <w:t xml:space="preserve">בסעיף 1 </w:t>
            </w:r>
            <w:r w:rsidR="00807E8A" w:rsidRPr="00807E8A">
              <w:rPr>
                <w:rFonts w:eastAsia="Arial Unicode MS" w:hint="cs"/>
                <w:snapToGrid w:val="0"/>
                <w:sz w:val="26"/>
                <w:szCs w:val="26"/>
                <w:rtl/>
              </w:rPr>
              <w:t>ל</w:t>
            </w:r>
            <w:r w:rsidR="00807E8A" w:rsidRPr="00807E8A">
              <w:rPr>
                <w:rFonts w:eastAsia="Arial Unicode MS"/>
                <w:snapToGrid w:val="0"/>
                <w:sz w:val="26"/>
                <w:szCs w:val="26"/>
                <w:rtl/>
              </w:rPr>
              <w:t>כללי התחרות הכלכלית (פטור סוג להסדרים בין מובילים באוויר) (מס' 2) (הוראת שעה), תשע"ד-2013</w:t>
            </w:r>
            <w:r w:rsidRPr="00762E73">
              <w:rPr>
                <w:rFonts w:eastAsia="Arial Unicode MS"/>
                <w:snapToGrid w:val="0"/>
                <w:sz w:val="26"/>
                <w:szCs w:val="26"/>
                <w:rtl/>
              </w:rPr>
              <w:t>,</w:t>
            </w:r>
            <w:r w:rsidR="007D13FE">
              <w:rPr>
                <w:rStyle w:val="FootnoteReference"/>
                <w:rFonts w:eastAsia="Arial Unicode MS"/>
                <w:snapToGrid w:val="0"/>
                <w:sz w:val="26"/>
                <w:szCs w:val="26"/>
                <w:rtl/>
              </w:rPr>
              <w:footnoteReference w:id="2"/>
            </w:r>
            <w:r w:rsidRPr="00762E73">
              <w:rPr>
                <w:rFonts w:eastAsia="Arial Unicode MS"/>
                <w:snapToGrid w:val="0"/>
                <w:sz w:val="26"/>
                <w:szCs w:val="26"/>
                <w:rtl/>
              </w:rPr>
              <w:t xml:space="preserve"> ההגדרות</w:t>
            </w:r>
            <w:r w:rsidRPr="00762E73">
              <w:rPr>
                <w:rFonts w:eastAsia="Arial Unicode MS"/>
                <w:snapToGrid w:val="0"/>
                <w:sz w:val="26"/>
                <w:szCs w:val="26"/>
              </w:rPr>
              <w:t xml:space="preserve"> </w:t>
            </w:r>
            <w:r w:rsidRPr="00762E73">
              <w:rPr>
                <w:rFonts w:eastAsia="Arial Unicode MS"/>
                <w:snapToGrid w:val="0"/>
                <w:sz w:val="26"/>
                <w:szCs w:val="26"/>
                <w:rtl/>
              </w:rPr>
              <w:t xml:space="preserve"> "בית הדין", "המראות ונחיתות בין-לאומיות"</w:t>
            </w:r>
            <w:r w:rsidRPr="00762E73">
              <w:rPr>
                <w:rFonts w:eastAsia="Arial Unicode MS"/>
                <w:snapToGrid w:val="0"/>
                <w:sz w:val="26"/>
                <w:szCs w:val="26"/>
              </w:rPr>
              <w:t> </w:t>
            </w:r>
            <w:r w:rsidRPr="00762E73">
              <w:rPr>
                <w:rFonts w:eastAsia="Arial Unicode MS"/>
                <w:snapToGrid w:val="0"/>
                <w:sz w:val="26"/>
                <w:szCs w:val="26"/>
                <w:rtl/>
              </w:rPr>
              <w:t>, "הסדר לשיווק קיבולת טיסה", "הסדר נוסע מתמיד", "הסדר קוד משותף", "טיסה פנים-ארצית", "כרטיס טיסה"</w:t>
            </w:r>
            <w:r w:rsidRPr="00762E73">
              <w:rPr>
                <w:rFonts w:eastAsia="Arial Unicode MS"/>
                <w:snapToGrid w:val="0"/>
                <w:sz w:val="26"/>
                <w:szCs w:val="26"/>
              </w:rPr>
              <w:t> </w:t>
            </w:r>
            <w:r w:rsidRPr="00762E73">
              <w:rPr>
                <w:rFonts w:eastAsia="Arial Unicode MS"/>
                <w:snapToGrid w:val="0"/>
                <w:sz w:val="26"/>
                <w:szCs w:val="26"/>
                <w:rtl/>
              </w:rPr>
              <w:t>, "מוביל ישראלי", "נמל בית</w:t>
            </w:r>
            <w:r w:rsidR="00A31197" w:rsidRPr="00762E73">
              <w:rPr>
                <w:rFonts w:eastAsia="Arial Unicode MS"/>
                <w:snapToGrid w:val="0"/>
                <w:sz w:val="26"/>
                <w:szCs w:val="26"/>
                <w:rtl/>
              </w:rPr>
              <w:t>",</w:t>
            </w:r>
            <w:r w:rsidRPr="00762E73">
              <w:rPr>
                <w:rFonts w:eastAsia="Arial Unicode MS"/>
                <w:snapToGrid w:val="0"/>
                <w:sz w:val="26"/>
                <w:szCs w:val="26"/>
                <w:rtl/>
              </w:rPr>
              <w:t xml:space="preserve"> </w:t>
            </w:r>
            <w:r w:rsidR="00A31197" w:rsidRPr="00762E73">
              <w:rPr>
                <w:rFonts w:eastAsia="Arial Unicode MS"/>
                <w:snapToGrid w:val="0"/>
                <w:sz w:val="26"/>
                <w:szCs w:val="26"/>
                <w:rtl/>
              </w:rPr>
              <w:t>"</w:t>
            </w:r>
            <w:r w:rsidRPr="00762E73">
              <w:rPr>
                <w:rFonts w:eastAsia="Arial Unicode MS"/>
                <w:snapToGrid w:val="0"/>
                <w:sz w:val="26"/>
                <w:szCs w:val="26"/>
                <w:rtl/>
              </w:rPr>
              <w:t>ציוד</w:t>
            </w:r>
            <w:r w:rsidR="00A31197" w:rsidRPr="00762E73">
              <w:rPr>
                <w:rFonts w:eastAsia="Arial Unicode MS"/>
                <w:snapToGrid w:val="0"/>
                <w:sz w:val="26"/>
                <w:szCs w:val="26"/>
                <w:rtl/>
              </w:rPr>
              <w:t>"</w:t>
            </w:r>
            <w:r w:rsidRPr="00762E73">
              <w:rPr>
                <w:rFonts w:eastAsia="Arial Unicode MS"/>
                <w:snapToGrid w:val="0"/>
                <w:sz w:val="26"/>
                <w:szCs w:val="26"/>
              </w:rPr>
              <w:t> </w:t>
            </w:r>
            <w:r w:rsidRPr="00762E73">
              <w:rPr>
                <w:rFonts w:eastAsia="Arial Unicode MS"/>
                <w:snapToGrid w:val="0"/>
                <w:sz w:val="26"/>
                <w:szCs w:val="26"/>
                <w:rtl/>
              </w:rPr>
              <w:t xml:space="preserve">, </w:t>
            </w:r>
            <w:r w:rsidR="00A31197" w:rsidRPr="00762E73">
              <w:rPr>
                <w:rFonts w:eastAsia="Arial Unicode MS"/>
                <w:snapToGrid w:val="0"/>
                <w:sz w:val="26"/>
                <w:szCs w:val="26"/>
                <w:rtl/>
              </w:rPr>
              <w:t>"</w:t>
            </w:r>
            <w:r w:rsidRPr="00762E73">
              <w:rPr>
                <w:rFonts w:eastAsia="Arial Unicode MS"/>
                <w:snapToGrid w:val="0"/>
                <w:sz w:val="26"/>
                <w:szCs w:val="26"/>
                <w:rtl/>
              </w:rPr>
              <w:t>ציוד מתכלה</w:t>
            </w:r>
            <w:r w:rsidR="00A31197" w:rsidRPr="00762E73">
              <w:rPr>
                <w:rFonts w:eastAsia="Arial Unicode MS"/>
                <w:snapToGrid w:val="0"/>
                <w:sz w:val="26"/>
                <w:szCs w:val="26"/>
                <w:rtl/>
              </w:rPr>
              <w:t>"</w:t>
            </w:r>
            <w:r w:rsidRPr="00762E73">
              <w:rPr>
                <w:rFonts w:eastAsia="Arial Unicode MS"/>
                <w:snapToGrid w:val="0"/>
                <w:sz w:val="26"/>
                <w:szCs w:val="26"/>
                <w:rtl/>
              </w:rPr>
              <w:t xml:space="preserve">, </w:t>
            </w:r>
            <w:r w:rsidR="00A31197" w:rsidRPr="00762E73">
              <w:rPr>
                <w:rFonts w:eastAsia="Arial Unicode MS"/>
                <w:snapToGrid w:val="0"/>
                <w:sz w:val="26"/>
                <w:szCs w:val="26"/>
                <w:rtl/>
              </w:rPr>
              <w:t>"</w:t>
            </w:r>
            <w:r w:rsidRPr="00762E73">
              <w:rPr>
                <w:rFonts w:eastAsia="Arial Unicode MS"/>
                <w:snapToGrid w:val="0"/>
                <w:sz w:val="26"/>
                <w:szCs w:val="26"/>
                <w:rtl/>
              </w:rPr>
              <w:t>קיבולת טיס</w:t>
            </w:r>
            <w:r w:rsidR="00A31197" w:rsidRPr="00762E73">
              <w:rPr>
                <w:rFonts w:eastAsia="Arial Unicode MS"/>
                <w:snapToGrid w:val="0"/>
                <w:sz w:val="26"/>
                <w:szCs w:val="26"/>
                <w:rtl/>
              </w:rPr>
              <w:t>ה"</w:t>
            </w:r>
            <w:r w:rsidRPr="00762E73">
              <w:rPr>
                <w:rFonts w:eastAsia="Arial Unicode MS"/>
                <w:snapToGrid w:val="0"/>
                <w:sz w:val="26"/>
                <w:szCs w:val="26"/>
              </w:rPr>
              <w:t> </w:t>
            </w:r>
            <w:r w:rsidRPr="00762E73">
              <w:rPr>
                <w:rFonts w:eastAsia="Arial Unicode MS"/>
                <w:snapToGrid w:val="0"/>
                <w:sz w:val="26"/>
                <w:szCs w:val="26"/>
                <w:rtl/>
              </w:rPr>
              <w:t xml:space="preserve">, </w:t>
            </w:r>
            <w:r w:rsidR="00A31197" w:rsidRPr="00762E73">
              <w:rPr>
                <w:rFonts w:eastAsia="Arial Unicode MS"/>
                <w:snapToGrid w:val="0"/>
                <w:sz w:val="26"/>
                <w:szCs w:val="26"/>
                <w:rtl/>
              </w:rPr>
              <w:t>"</w:t>
            </w:r>
            <w:r w:rsidRPr="00762E73">
              <w:rPr>
                <w:rFonts w:eastAsia="Arial Unicode MS"/>
                <w:snapToGrid w:val="0"/>
                <w:sz w:val="26"/>
                <w:szCs w:val="26"/>
                <w:rtl/>
              </w:rPr>
              <w:t>רישיון הפעלה אווירית</w:t>
            </w:r>
            <w:r w:rsidR="00A31197" w:rsidRPr="00762E73">
              <w:rPr>
                <w:rFonts w:eastAsia="Arial Unicode MS"/>
                <w:snapToGrid w:val="0"/>
                <w:sz w:val="26"/>
                <w:szCs w:val="26"/>
                <w:rtl/>
              </w:rPr>
              <w:t>"</w:t>
            </w:r>
            <w:r w:rsidRPr="00762E73">
              <w:rPr>
                <w:rFonts w:eastAsia="Arial Unicode MS"/>
                <w:snapToGrid w:val="0"/>
                <w:sz w:val="26"/>
                <w:szCs w:val="26"/>
                <w:rtl/>
              </w:rPr>
              <w:t xml:space="preserve"> – </w:t>
            </w:r>
            <w:r w:rsidRPr="00762E73">
              <w:rPr>
                <w:rFonts w:eastAsia="Arial Unicode MS"/>
                <w:snapToGrid w:val="0"/>
                <w:sz w:val="26"/>
                <w:szCs w:val="26"/>
              </w:rPr>
              <w:t xml:space="preserve"> </w:t>
            </w:r>
            <w:r w:rsidRPr="00762E73">
              <w:rPr>
                <w:rFonts w:eastAsia="Arial Unicode MS"/>
                <w:snapToGrid w:val="0"/>
                <w:sz w:val="26"/>
                <w:szCs w:val="26"/>
                <w:rtl/>
              </w:rPr>
              <w:t>יימחקו</w:t>
            </w:r>
            <w:r w:rsidRPr="00762E73">
              <w:rPr>
                <w:rFonts w:eastAsia="Arial Unicode MS"/>
                <w:snapToGrid w:val="0"/>
                <w:sz w:val="26"/>
                <w:szCs w:val="26"/>
              </w:rPr>
              <w:t>.</w:t>
            </w:r>
          </w:p>
        </w:tc>
      </w:tr>
      <w:tr w:rsidR="00411E2F" w:rsidRPr="008F5E4E" w14:paraId="127C7ECC" w14:textId="77777777">
        <w:trPr>
          <w:cantSplit/>
          <w:trHeight w:val="60"/>
        </w:trPr>
        <w:tc>
          <w:tcPr>
            <w:tcW w:w="1871" w:type="dxa"/>
          </w:tcPr>
          <w:p w14:paraId="21FD32F2" w14:textId="5C7DA7C2" w:rsidR="00411E2F" w:rsidRPr="008F5E4E" w:rsidRDefault="002D2B35" w:rsidP="00526E61">
            <w:pPr>
              <w:keepLines/>
              <w:tabs>
                <w:tab w:val="left" w:pos="624"/>
                <w:tab w:val="left" w:pos="1247"/>
              </w:tabs>
              <w:bidi/>
              <w:snapToGrid w:val="0"/>
              <w:outlineLvl w:val="2"/>
              <w:rPr>
                <w:rFonts w:eastAsia="Arial Unicode MS"/>
                <w:snapToGrid w:val="0"/>
                <w:sz w:val="20"/>
                <w:szCs w:val="26"/>
                <w:rtl/>
              </w:rPr>
            </w:pPr>
            <w:r w:rsidRPr="008F5E4E">
              <w:rPr>
                <w:rFonts w:eastAsia="Arial Unicode MS"/>
                <w:snapToGrid w:val="0"/>
                <w:sz w:val="20"/>
                <w:szCs w:val="26"/>
                <w:rtl/>
              </w:rPr>
              <w:t>ביטול</w:t>
            </w:r>
            <w:r w:rsidR="00411E2F" w:rsidRPr="008F5E4E">
              <w:rPr>
                <w:rFonts w:eastAsia="Arial Unicode MS"/>
                <w:snapToGrid w:val="0"/>
                <w:sz w:val="20"/>
                <w:szCs w:val="26"/>
                <w:rtl/>
              </w:rPr>
              <w:t xml:space="preserve"> סעיף 2</w:t>
            </w:r>
          </w:p>
        </w:tc>
        <w:tc>
          <w:tcPr>
            <w:tcW w:w="624" w:type="dxa"/>
          </w:tcPr>
          <w:p w14:paraId="09981FBF" w14:textId="77777777" w:rsidR="00411E2F" w:rsidRPr="008F5E4E" w:rsidRDefault="00411E2F" w:rsidP="00526E61">
            <w:pPr>
              <w:keepLines/>
              <w:numPr>
                <w:ilvl w:val="0"/>
                <w:numId w:val="1"/>
              </w:numPr>
              <w:tabs>
                <w:tab w:val="left" w:pos="624"/>
                <w:tab w:val="left" w:pos="1247"/>
              </w:tabs>
              <w:bidi/>
              <w:snapToGrid w:val="0"/>
              <w:rPr>
                <w:rFonts w:eastAsia="Arial Unicode MS"/>
                <w:snapToGrid w:val="0"/>
                <w:sz w:val="20"/>
                <w:szCs w:val="26"/>
              </w:rPr>
            </w:pPr>
          </w:p>
        </w:tc>
        <w:tc>
          <w:tcPr>
            <w:tcW w:w="7146" w:type="dxa"/>
          </w:tcPr>
          <w:p w14:paraId="2C068DD9" w14:textId="164DE28F" w:rsidR="00411E2F" w:rsidRPr="00762E73" w:rsidRDefault="00A31197" w:rsidP="00526E61">
            <w:pPr>
              <w:bidi/>
              <w:spacing w:line="360" w:lineRule="auto"/>
              <w:jc w:val="both"/>
              <w:rPr>
                <w:rFonts w:eastAsia="Arial Unicode MS"/>
                <w:snapToGrid w:val="0"/>
                <w:sz w:val="26"/>
                <w:szCs w:val="26"/>
                <w:rtl/>
              </w:rPr>
            </w:pPr>
            <w:r w:rsidRPr="00762E73">
              <w:rPr>
                <w:rFonts w:eastAsia="Arial Unicode MS"/>
                <w:snapToGrid w:val="0"/>
                <w:sz w:val="26"/>
                <w:szCs w:val="26"/>
                <w:rtl/>
              </w:rPr>
              <w:t>סעיף</w:t>
            </w:r>
            <w:r w:rsidR="00411E2F" w:rsidRPr="00762E73">
              <w:rPr>
                <w:rFonts w:eastAsia="Arial Unicode MS"/>
                <w:snapToGrid w:val="0"/>
                <w:sz w:val="26"/>
                <w:szCs w:val="26"/>
                <w:rtl/>
              </w:rPr>
              <w:t xml:space="preserve"> 2 </w:t>
            </w:r>
            <w:r w:rsidRPr="00762E73">
              <w:rPr>
                <w:rFonts w:eastAsia="Arial Unicode MS"/>
                <w:snapToGrid w:val="0"/>
                <w:sz w:val="26"/>
                <w:szCs w:val="26"/>
                <w:rtl/>
              </w:rPr>
              <w:t>לכללים העיקריים</w:t>
            </w:r>
            <w:r w:rsidR="00411E2F" w:rsidRPr="00762E73">
              <w:rPr>
                <w:rFonts w:eastAsia="Arial Unicode MS"/>
                <w:snapToGrid w:val="0"/>
                <w:sz w:val="26"/>
                <w:szCs w:val="26"/>
                <w:rtl/>
              </w:rPr>
              <w:t xml:space="preserve"> </w:t>
            </w:r>
            <w:r w:rsidRPr="00762E73">
              <w:rPr>
                <w:rFonts w:eastAsia="Arial Unicode MS"/>
                <w:snapToGrid w:val="0"/>
                <w:sz w:val="26"/>
                <w:szCs w:val="26"/>
                <w:rtl/>
              </w:rPr>
              <w:t>–</w:t>
            </w:r>
            <w:r w:rsidR="00411E2F" w:rsidRPr="00762E73">
              <w:rPr>
                <w:rFonts w:eastAsia="Arial Unicode MS"/>
                <w:snapToGrid w:val="0"/>
                <w:sz w:val="26"/>
                <w:szCs w:val="26"/>
                <w:rtl/>
              </w:rPr>
              <w:t xml:space="preserve"> ב</w:t>
            </w:r>
            <w:r w:rsidRPr="00762E73">
              <w:rPr>
                <w:rFonts w:eastAsia="Arial Unicode MS"/>
                <w:snapToGrid w:val="0"/>
                <w:sz w:val="26"/>
                <w:szCs w:val="26"/>
                <w:rtl/>
              </w:rPr>
              <w:t>טל.</w:t>
            </w:r>
          </w:p>
        </w:tc>
      </w:tr>
      <w:tr w:rsidR="00A31197" w:rsidRPr="008F5E4E" w14:paraId="611DA9DB" w14:textId="77777777">
        <w:trPr>
          <w:cantSplit/>
          <w:trHeight w:val="60"/>
        </w:trPr>
        <w:tc>
          <w:tcPr>
            <w:tcW w:w="1871" w:type="dxa"/>
          </w:tcPr>
          <w:p w14:paraId="1C31ECAA" w14:textId="61CBABF7" w:rsidR="00A31197" w:rsidRPr="008F5E4E" w:rsidRDefault="00A31197" w:rsidP="00A31197">
            <w:pPr>
              <w:keepLines/>
              <w:tabs>
                <w:tab w:val="left" w:pos="624"/>
                <w:tab w:val="left" w:pos="1247"/>
              </w:tabs>
              <w:bidi/>
              <w:snapToGrid w:val="0"/>
              <w:outlineLvl w:val="2"/>
              <w:rPr>
                <w:rFonts w:eastAsia="Arial Unicode MS"/>
                <w:snapToGrid w:val="0"/>
                <w:sz w:val="20"/>
                <w:szCs w:val="26"/>
                <w:rtl/>
              </w:rPr>
            </w:pPr>
            <w:r w:rsidRPr="008F5E4E">
              <w:rPr>
                <w:rFonts w:eastAsia="Arial Unicode MS"/>
                <w:snapToGrid w:val="0"/>
                <w:sz w:val="20"/>
                <w:szCs w:val="26"/>
                <w:rtl/>
              </w:rPr>
              <w:lastRenderedPageBreak/>
              <w:t xml:space="preserve">ביטול סעיף </w:t>
            </w:r>
            <w:r w:rsidR="00F07839" w:rsidRPr="008F5E4E">
              <w:rPr>
                <w:rFonts w:eastAsia="Arial Unicode MS"/>
                <w:snapToGrid w:val="0"/>
                <w:sz w:val="20"/>
                <w:szCs w:val="26"/>
                <w:rtl/>
              </w:rPr>
              <w:t>4</w:t>
            </w:r>
          </w:p>
        </w:tc>
        <w:tc>
          <w:tcPr>
            <w:tcW w:w="624" w:type="dxa"/>
          </w:tcPr>
          <w:p w14:paraId="4250E8A2" w14:textId="77777777" w:rsidR="00A31197" w:rsidRPr="008F5E4E" w:rsidRDefault="00A31197" w:rsidP="00A31197">
            <w:pPr>
              <w:keepLines/>
              <w:numPr>
                <w:ilvl w:val="0"/>
                <w:numId w:val="1"/>
              </w:numPr>
              <w:tabs>
                <w:tab w:val="left" w:pos="624"/>
                <w:tab w:val="left" w:pos="1247"/>
              </w:tabs>
              <w:bidi/>
              <w:snapToGrid w:val="0"/>
              <w:rPr>
                <w:rFonts w:eastAsia="Arial Unicode MS"/>
                <w:snapToGrid w:val="0"/>
                <w:sz w:val="20"/>
                <w:szCs w:val="26"/>
              </w:rPr>
            </w:pPr>
          </w:p>
        </w:tc>
        <w:tc>
          <w:tcPr>
            <w:tcW w:w="7146" w:type="dxa"/>
          </w:tcPr>
          <w:p w14:paraId="34F97581" w14:textId="0B846DF2" w:rsidR="00A31197" w:rsidRPr="00762E73" w:rsidRDefault="00A31197" w:rsidP="00A31197">
            <w:pPr>
              <w:bidi/>
              <w:spacing w:line="360" w:lineRule="auto"/>
              <w:jc w:val="both"/>
              <w:rPr>
                <w:rFonts w:eastAsia="Arial Unicode MS"/>
                <w:snapToGrid w:val="0"/>
                <w:sz w:val="26"/>
                <w:szCs w:val="26"/>
                <w:rtl/>
              </w:rPr>
            </w:pPr>
            <w:r w:rsidRPr="00762E73">
              <w:rPr>
                <w:rFonts w:eastAsia="Arial Unicode MS"/>
                <w:snapToGrid w:val="0"/>
                <w:sz w:val="26"/>
                <w:szCs w:val="26"/>
                <w:rtl/>
              </w:rPr>
              <w:t xml:space="preserve">סעיף </w:t>
            </w:r>
            <w:r w:rsidR="00F07839" w:rsidRPr="00762E73">
              <w:rPr>
                <w:rFonts w:eastAsia="Arial Unicode MS"/>
                <w:snapToGrid w:val="0"/>
                <w:sz w:val="26"/>
                <w:szCs w:val="26"/>
                <w:rtl/>
              </w:rPr>
              <w:t>4</w:t>
            </w:r>
            <w:r w:rsidRPr="00762E73">
              <w:rPr>
                <w:rFonts w:eastAsia="Arial Unicode MS"/>
                <w:snapToGrid w:val="0"/>
                <w:sz w:val="26"/>
                <w:szCs w:val="26"/>
                <w:rtl/>
              </w:rPr>
              <w:t xml:space="preserve"> לכללים העיקריים – בטל.</w:t>
            </w:r>
          </w:p>
        </w:tc>
      </w:tr>
      <w:tr w:rsidR="00A31197" w:rsidRPr="008F5E4E" w14:paraId="085CBD11" w14:textId="77777777">
        <w:trPr>
          <w:cantSplit/>
          <w:trHeight w:val="60"/>
        </w:trPr>
        <w:tc>
          <w:tcPr>
            <w:tcW w:w="1871" w:type="dxa"/>
          </w:tcPr>
          <w:p w14:paraId="7AB8A13B" w14:textId="21A01766" w:rsidR="00A31197" w:rsidRPr="008F5E4E" w:rsidRDefault="00A31197" w:rsidP="00A31197">
            <w:pPr>
              <w:keepLines/>
              <w:tabs>
                <w:tab w:val="left" w:pos="624"/>
                <w:tab w:val="left" w:pos="1247"/>
              </w:tabs>
              <w:bidi/>
              <w:snapToGrid w:val="0"/>
              <w:outlineLvl w:val="2"/>
              <w:rPr>
                <w:rFonts w:eastAsia="Arial Unicode MS"/>
                <w:snapToGrid w:val="0"/>
                <w:sz w:val="20"/>
                <w:szCs w:val="26"/>
                <w:rtl/>
              </w:rPr>
            </w:pPr>
            <w:r w:rsidRPr="008F5E4E">
              <w:rPr>
                <w:rFonts w:eastAsia="Arial Unicode MS"/>
                <w:snapToGrid w:val="0"/>
                <w:sz w:val="20"/>
                <w:szCs w:val="26"/>
                <w:rtl/>
              </w:rPr>
              <w:t xml:space="preserve">ביטול סעיף </w:t>
            </w:r>
            <w:r w:rsidR="00F07839" w:rsidRPr="008F5E4E">
              <w:rPr>
                <w:rFonts w:eastAsia="Arial Unicode MS"/>
                <w:snapToGrid w:val="0"/>
                <w:sz w:val="20"/>
                <w:szCs w:val="26"/>
                <w:rtl/>
              </w:rPr>
              <w:t>5</w:t>
            </w:r>
          </w:p>
        </w:tc>
        <w:tc>
          <w:tcPr>
            <w:tcW w:w="624" w:type="dxa"/>
          </w:tcPr>
          <w:p w14:paraId="180E5D68" w14:textId="77777777" w:rsidR="00A31197" w:rsidRPr="008F5E4E" w:rsidRDefault="00A31197" w:rsidP="00A31197">
            <w:pPr>
              <w:keepLines/>
              <w:numPr>
                <w:ilvl w:val="0"/>
                <w:numId w:val="1"/>
              </w:numPr>
              <w:tabs>
                <w:tab w:val="left" w:pos="624"/>
                <w:tab w:val="left" w:pos="1247"/>
              </w:tabs>
              <w:bidi/>
              <w:snapToGrid w:val="0"/>
              <w:rPr>
                <w:rFonts w:eastAsia="Arial Unicode MS"/>
                <w:snapToGrid w:val="0"/>
                <w:sz w:val="20"/>
                <w:szCs w:val="26"/>
              </w:rPr>
            </w:pPr>
          </w:p>
        </w:tc>
        <w:tc>
          <w:tcPr>
            <w:tcW w:w="7146" w:type="dxa"/>
          </w:tcPr>
          <w:p w14:paraId="7A2213C1" w14:textId="2CBC73BA" w:rsidR="00A31197" w:rsidRPr="00762E73" w:rsidRDefault="00A31197" w:rsidP="00A31197">
            <w:pPr>
              <w:bidi/>
              <w:spacing w:line="360" w:lineRule="auto"/>
              <w:jc w:val="both"/>
              <w:rPr>
                <w:rFonts w:eastAsia="Arial Unicode MS"/>
                <w:snapToGrid w:val="0"/>
                <w:sz w:val="26"/>
                <w:szCs w:val="26"/>
                <w:rtl/>
              </w:rPr>
            </w:pPr>
            <w:r w:rsidRPr="00762E73">
              <w:rPr>
                <w:rFonts w:eastAsia="Arial Unicode MS"/>
                <w:snapToGrid w:val="0"/>
                <w:sz w:val="26"/>
                <w:szCs w:val="26"/>
                <w:rtl/>
              </w:rPr>
              <w:t xml:space="preserve">סעיף </w:t>
            </w:r>
            <w:r w:rsidR="00F07839" w:rsidRPr="00762E73">
              <w:rPr>
                <w:rFonts w:eastAsia="Arial Unicode MS"/>
                <w:snapToGrid w:val="0"/>
                <w:sz w:val="26"/>
                <w:szCs w:val="26"/>
                <w:rtl/>
              </w:rPr>
              <w:t>5</w:t>
            </w:r>
            <w:r w:rsidRPr="00762E73">
              <w:rPr>
                <w:rFonts w:eastAsia="Arial Unicode MS"/>
                <w:snapToGrid w:val="0"/>
                <w:sz w:val="26"/>
                <w:szCs w:val="26"/>
                <w:rtl/>
              </w:rPr>
              <w:t xml:space="preserve"> לכללים העיקריים – בטל.</w:t>
            </w:r>
          </w:p>
        </w:tc>
      </w:tr>
      <w:tr w:rsidR="00A31197" w:rsidRPr="008F5E4E" w14:paraId="170F3A7E" w14:textId="77777777">
        <w:trPr>
          <w:cantSplit/>
          <w:trHeight w:val="60"/>
        </w:trPr>
        <w:tc>
          <w:tcPr>
            <w:tcW w:w="1871" w:type="dxa"/>
          </w:tcPr>
          <w:p w14:paraId="1AFA75AD" w14:textId="5E497817" w:rsidR="00A31197" w:rsidRPr="008F5E4E" w:rsidRDefault="00A31197" w:rsidP="00A31197">
            <w:pPr>
              <w:keepLines/>
              <w:tabs>
                <w:tab w:val="left" w:pos="624"/>
                <w:tab w:val="left" w:pos="1247"/>
              </w:tabs>
              <w:bidi/>
              <w:snapToGrid w:val="0"/>
              <w:outlineLvl w:val="2"/>
              <w:rPr>
                <w:rFonts w:eastAsia="Arial Unicode MS"/>
                <w:snapToGrid w:val="0"/>
                <w:sz w:val="20"/>
                <w:szCs w:val="26"/>
                <w:rtl/>
              </w:rPr>
            </w:pPr>
            <w:r w:rsidRPr="008F5E4E">
              <w:rPr>
                <w:rFonts w:eastAsia="Arial Unicode MS"/>
                <w:snapToGrid w:val="0"/>
                <w:sz w:val="20"/>
                <w:szCs w:val="26"/>
                <w:rtl/>
              </w:rPr>
              <w:t xml:space="preserve">ביטול סעיף </w:t>
            </w:r>
            <w:r w:rsidR="00F07839" w:rsidRPr="008F5E4E">
              <w:rPr>
                <w:rFonts w:eastAsia="Arial Unicode MS"/>
                <w:snapToGrid w:val="0"/>
                <w:sz w:val="20"/>
                <w:szCs w:val="26"/>
                <w:rtl/>
              </w:rPr>
              <w:t>6</w:t>
            </w:r>
          </w:p>
        </w:tc>
        <w:tc>
          <w:tcPr>
            <w:tcW w:w="624" w:type="dxa"/>
          </w:tcPr>
          <w:p w14:paraId="15813435" w14:textId="77777777" w:rsidR="00A31197" w:rsidRPr="008F5E4E" w:rsidRDefault="00A31197" w:rsidP="00A31197">
            <w:pPr>
              <w:keepLines/>
              <w:numPr>
                <w:ilvl w:val="0"/>
                <w:numId w:val="1"/>
              </w:numPr>
              <w:tabs>
                <w:tab w:val="left" w:pos="624"/>
                <w:tab w:val="left" w:pos="1247"/>
              </w:tabs>
              <w:bidi/>
              <w:snapToGrid w:val="0"/>
              <w:rPr>
                <w:rFonts w:eastAsia="Arial Unicode MS"/>
                <w:snapToGrid w:val="0"/>
                <w:sz w:val="20"/>
                <w:szCs w:val="26"/>
              </w:rPr>
            </w:pPr>
          </w:p>
        </w:tc>
        <w:tc>
          <w:tcPr>
            <w:tcW w:w="7146" w:type="dxa"/>
          </w:tcPr>
          <w:p w14:paraId="18BC9E3D" w14:textId="08373074" w:rsidR="00F07839" w:rsidRPr="00762E73" w:rsidRDefault="00A31197" w:rsidP="00F07839">
            <w:pPr>
              <w:bidi/>
              <w:spacing w:line="360" w:lineRule="auto"/>
              <w:jc w:val="both"/>
              <w:rPr>
                <w:rFonts w:eastAsia="Arial Unicode MS"/>
                <w:snapToGrid w:val="0"/>
                <w:sz w:val="26"/>
                <w:szCs w:val="26"/>
                <w:rtl/>
              </w:rPr>
            </w:pPr>
            <w:r w:rsidRPr="00762E73">
              <w:rPr>
                <w:rFonts w:eastAsia="Arial Unicode MS"/>
                <w:snapToGrid w:val="0"/>
                <w:sz w:val="26"/>
                <w:szCs w:val="26"/>
                <w:rtl/>
              </w:rPr>
              <w:t xml:space="preserve">סעיף </w:t>
            </w:r>
            <w:r w:rsidR="00F07839" w:rsidRPr="00762E73">
              <w:rPr>
                <w:rFonts w:eastAsia="Arial Unicode MS"/>
                <w:snapToGrid w:val="0"/>
                <w:sz w:val="26"/>
                <w:szCs w:val="26"/>
                <w:rtl/>
              </w:rPr>
              <w:t>6</w:t>
            </w:r>
            <w:r w:rsidRPr="00762E73">
              <w:rPr>
                <w:rFonts w:eastAsia="Arial Unicode MS"/>
                <w:snapToGrid w:val="0"/>
                <w:sz w:val="26"/>
                <w:szCs w:val="26"/>
                <w:rtl/>
              </w:rPr>
              <w:t xml:space="preserve"> לכללים העיקריים – בטל.</w:t>
            </w:r>
          </w:p>
        </w:tc>
      </w:tr>
      <w:tr w:rsidR="00F07839" w:rsidRPr="008F5E4E" w14:paraId="719F52C4" w14:textId="77777777">
        <w:trPr>
          <w:cantSplit/>
          <w:trHeight w:val="60"/>
        </w:trPr>
        <w:tc>
          <w:tcPr>
            <w:tcW w:w="1871" w:type="dxa"/>
          </w:tcPr>
          <w:p w14:paraId="573C115F" w14:textId="006A028F" w:rsidR="00F07839" w:rsidRPr="008F5E4E" w:rsidRDefault="00F07839" w:rsidP="00F07839">
            <w:pPr>
              <w:keepLines/>
              <w:tabs>
                <w:tab w:val="left" w:pos="624"/>
                <w:tab w:val="left" w:pos="1247"/>
              </w:tabs>
              <w:bidi/>
              <w:snapToGrid w:val="0"/>
              <w:outlineLvl w:val="2"/>
              <w:rPr>
                <w:rFonts w:eastAsia="Arial Unicode MS"/>
                <w:snapToGrid w:val="0"/>
                <w:sz w:val="20"/>
                <w:szCs w:val="26"/>
                <w:rtl/>
              </w:rPr>
            </w:pPr>
            <w:r w:rsidRPr="008F5E4E">
              <w:rPr>
                <w:rFonts w:eastAsia="Arial Unicode MS"/>
                <w:snapToGrid w:val="0"/>
                <w:sz w:val="20"/>
                <w:szCs w:val="26"/>
                <w:rtl/>
              </w:rPr>
              <w:t>תיקון סעיף 7</w:t>
            </w:r>
          </w:p>
          <w:p w14:paraId="646691F1" w14:textId="77777777" w:rsidR="00F07839" w:rsidRPr="008F5E4E" w:rsidRDefault="00F07839" w:rsidP="00A31197">
            <w:pPr>
              <w:keepLines/>
              <w:tabs>
                <w:tab w:val="left" w:pos="624"/>
                <w:tab w:val="left" w:pos="1247"/>
              </w:tabs>
              <w:bidi/>
              <w:snapToGrid w:val="0"/>
              <w:outlineLvl w:val="2"/>
              <w:rPr>
                <w:rFonts w:eastAsia="Arial Unicode MS"/>
                <w:snapToGrid w:val="0"/>
                <w:sz w:val="20"/>
                <w:szCs w:val="26"/>
                <w:rtl/>
              </w:rPr>
            </w:pPr>
          </w:p>
        </w:tc>
        <w:tc>
          <w:tcPr>
            <w:tcW w:w="624" w:type="dxa"/>
          </w:tcPr>
          <w:p w14:paraId="4DF9AFC7" w14:textId="273A4930" w:rsidR="00F07839" w:rsidRPr="008F5E4E" w:rsidRDefault="00F07839" w:rsidP="00DC761E">
            <w:pPr>
              <w:pStyle w:val="ListParagraph"/>
              <w:keepLines/>
              <w:numPr>
                <w:ilvl w:val="0"/>
                <w:numId w:val="1"/>
              </w:numPr>
              <w:tabs>
                <w:tab w:val="left" w:pos="624"/>
                <w:tab w:val="left" w:pos="1247"/>
              </w:tabs>
              <w:bidi/>
              <w:snapToGrid w:val="0"/>
              <w:rPr>
                <w:rFonts w:eastAsia="Arial Unicode MS"/>
                <w:snapToGrid w:val="0"/>
                <w:sz w:val="20"/>
                <w:szCs w:val="26"/>
              </w:rPr>
            </w:pPr>
          </w:p>
        </w:tc>
        <w:tc>
          <w:tcPr>
            <w:tcW w:w="7146" w:type="dxa"/>
          </w:tcPr>
          <w:p w14:paraId="2E028989" w14:textId="77777777" w:rsidR="00F07839" w:rsidRPr="00762E73" w:rsidRDefault="00F07839" w:rsidP="00A31197">
            <w:pPr>
              <w:bidi/>
              <w:spacing w:line="360" w:lineRule="auto"/>
              <w:jc w:val="both"/>
              <w:rPr>
                <w:sz w:val="26"/>
                <w:szCs w:val="26"/>
                <w:rtl/>
              </w:rPr>
            </w:pPr>
            <w:r w:rsidRPr="00762E73">
              <w:rPr>
                <w:sz w:val="26"/>
                <w:szCs w:val="26"/>
                <w:rtl/>
              </w:rPr>
              <w:t xml:space="preserve">בסעיף 7 לכללים העיקריים – </w:t>
            </w:r>
          </w:p>
          <w:p w14:paraId="1BA7DFAB" w14:textId="77777777" w:rsidR="00A35F97" w:rsidRPr="00762E73" w:rsidRDefault="00A35F97" w:rsidP="00A35F97">
            <w:pPr>
              <w:pStyle w:val="ListParagraph"/>
              <w:numPr>
                <w:ilvl w:val="1"/>
                <w:numId w:val="1"/>
              </w:numPr>
              <w:bidi/>
              <w:spacing w:line="360" w:lineRule="auto"/>
              <w:jc w:val="both"/>
              <w:rPr>
                <w:rFonts w:eastAsia="Arial Unicode MS"/>
                <w:snapToGrid w:val="0"/>
                <w:sz w:val="26"/>
                <w:szCs w:val="26"/>
              </w:rPr>
            </w:pPr>
            <w:r w:rsidRPr="00762E73">
              <w:rPr>
                <w:rFonts w:eastAsia="Arial Unicode MS"/>
                <w:snapToGrid w:val="0"/>
                <w:sz w:val="26"/>
                <w:szCs w:val="26"/>
                <w:rtl/>
              </w:rPr>
              <w:t>סעיף משנה (א) בטל.</w:t>
            </w:r>
          </w:p>
          <w:p w14:paraId="45FA4247" w14:textId="65661345" w:rsidR="00A35F97" w:rsidRPr="00762E73" w:rsidRDefault="00A35F97" w:rsidP="00A35F97">
            <w:pPr>
              <w:pStyle w:val="ListParagraph"/>
              <w:numPr>
                <w:ilvl w:val="1"/>
                <w:numId w:val="1"/>
              </w:numPr>
              <w:bidi/>
              <w:spacing w:line="360" w:lineRule="auto"/>
              <w:jc w:val="both"/>
              <w:rPr>
                <w:rFonts w:eastAsia="Arial Unicode MS"/>
                <w:snapToGrid w:val="0"/>
                <w:sz w:val="26"/>
                <w:szCs w:val="26"/>
              </w:rPr>
            </w:pPr>
            <w:r w:rsidRPr="00762E73">
              <w:rPr>
                <w:rFonts w:eastAsia="Arial Unicode MS"/>
                <w:snapToGrid w:val="0"/>
                <w:sz w:val="26"/>
                <w:szCs w:val="26"/>
                <w:rtl/>
              </w:rPr>
              <w:t>סעיף משנה (ב) בטל.</w:t>
            </w:r>
          </w:p>
          <w:p w14:paraId="577D91EC" w14:textId="77777777" w:rsidR="00DC761E" w:rsidRPr="00762E73" w:rsidRDefault="00A35F97" w:rsidP="00DC761E">
            <w:pPr>
              <w:pStyle w:val="ListParagraph"/>
              <w:numPr>
                <w:ilvl w:val="1"/>
                <w:numId w:val="1"/>
              </w:numPr>
              <w:bidi/>
              <w:spacing w:line="480" w:lineRule="auto"/>
              <w:jc w:val="both"/>
              <w:rPr>
                <w:rFonts w:eastAsia="Arial Unicode MS"/>
                <w:snapToGrid w:val="0"/>
                <w:sz w:val="26"/>
                <w:szCs w:val="26"/>
              </w:rPr>
            </w:pPr>
            <w:r w:rsidRPr="00762E73">
              <w:rPr>
                <w:rFonts w:eastAsia="Arial Unicode MS"/>
                <w:snapToGrid w:val="0"/>
                <w:sz w:val="26"/>
                <w:szCs w:val="26"/>
                <w:rtl/>
              </w:rPr>
              <w:t>סעיף משנה (ג) בטל.</w:t>
            </w:r>
          </w:p>
          <w:p w14:paraId="7ED94E57" w14:textId="1DC300A6" w:rsidR="00DC761E" w:rsidRPr="00762E73" w:rsidRDefault="00DC761E" w:rsidP="00DC761E">
            <w:pPr>
              <w:pStyle w:val="ListParagraph"/>
              <w:bidi/>
              <w:spacing w:line="360" w:lineRule="auto"/>
              <w:ind w:left="0"/>
              <w:jc w:val="both"/>
              <w:rPr>
                <w:rFonts w:eastAsia="Arial Unicode MS"/>
                <w:snapToGrid w:val="0"/>
                <w:sz w:val="26"/>
                <w:szCs w:val="26"/>
                <w:rtl/>
              </w:rPr>
            </w:pPr>
            <w:r w:rsidRPr="00762E73">
              <w:rPr>
                <w:rFonts w:eastAsia="Arial Unicode MS"/>
                <w:snapToGrid w:val="0"/>
                <w:sz w:val="26"/>
                <w:szCs w:val="26"/>
                <w:rtl/>
              </w:rPr>
              <w:t>בסעיף 7א לכללים העיקריים, השורה "בלי לגרוע מן הפטורים הקבועים בסעיפים 2, 4, 5 או 6" – תבוטל.</w:t>
            </w:r>
          </w:p>
        </w:tc>
      </w:tr>
      <w:tr w:rsidR="001D5E21" w:rsidRPr="008F5E4E" w14:paraId="21CF0EB0" w14:textId="77777777">
        <w:trPr>
          <w:cantSplit/>
          <w:trHeight w:val="60"/>
        </w:trPr>
        <w:tc>
          <w:tcPr>
            <w:tcW w:w="1871" w:type="dxa"/>
          </w:tcPr>
          <w:p w14:paraId="4BF9A586" w14:textId="23EA46C1" w:rsidR="001D5E21" w:rsidRPr="008F5E4E" w:rsidRDefault="001D5E21" w:rsidP="00F07839">
            <w:pPr>
              <w:keepLines/>
              <w:tabs>
                <w:tab w:val="left" w:pos="624"/>
                <w:tab w:val="left" w:pos="1247"/>
              </w:tabs>
              <w:bidi/>
              <w:snapToGrid w:val="0"/>
              <w:outlineLvl w:val="2"/>
              <w:rPr>
                <w:rFonts w:eastAsia="Arial Unicode MS"/>
                <w:snapToGrid w:val="0"/>
                <w:sz w:val="20"/>
                <w:szCs w:val="26"/>
                <w:rtl/>
              </w:rPr>
            </w:pPr>
            <w:r w:rsidRPr="008F5E4E">
              <w:rPr>
                <w:rFonts w:eastAsia="Arial Unicode MS"/>
                <w:snapToGrid w:val="0"/>
                <w:sz w:val="20"/>
                <w:szCs w:val="26"/>
                <w:rtl/>
              </w:rPr>
              <w:t>תיקון סעיף 8</w:t>
            </w:r>
          </w:p>
        </w:tc>
        <w:tc>
          <w:tcPr>
            <w:tcW w:w="624" w:type="dxa"/>
          </w:tcPr>
          <w:p w14:paraId="434FF480" w14:textId="77777777" w:rsidR="001D5E21" w:rsidRPr="00286688" w:rsidRDefault="001D5E21" w:rsidP="00A31197">
            <w:pPr>
              <w:keepLines/>
              <w:numPr>
                <w:ilvl w:val="0"/>
                <w:numId w:val="1"/>
              </w:numPr>
              <w:tabs>
                <w:tab w:val="left" w:pos="624"/>
                <w:tab w:val="left" w:pos="1247"/>
              </w:tabs>
              <w:bidi/>
              <w:snapToGrid w:val="0"/>
              <w:rPr>
                <w:rFonts w:eastAsia="Arial Unicode MS"/>
                <w:snapToGrid w:val="0"/>
                <w:sz w:val="26"/>
                <w:szCs w:val="26"/>
              </w:rPr>
            </w:pPr>
          </w:p>
        </w:tc>
        <w:tc>
          <w:tcPr>
            <w:tcW w:w="7146" w:type="dxa"/>
          </w:tcPr>
          <w:p w14:paraId="6D639EC6" w14:textId="16F300C7" w:rsidR="001D5E21" w:rsidRPr="00762E73" w:rsidRDefault="001D5E21" w:rsidP="00CC5279">
            <w:pPr>
              <w:bidi/>
              <w:spacing w:line="360" w:lineRule="auto"/>
              <w:jc w:val="both"/>
              <w:rPr>
                <w:sz w:val="26"/>
                <w:szCs w:val="26"/>
                <w:rtl/>
              </w:rPr>
            </w:pPr>
            <w:r w:rsidRPr="00762E73">
              <w:rPr>
                <w:rFonts w:eastAsia="Arial Unicode MS"/>
                <w:snapToGrid w:val="0"/>
                <w:sz w:val="26"/>
                <w:szCs w:val="26"/>
                <w:rtl/>
              </w:rPr>
              <w:t>בסעיף 8 לכללי</w:t>
            </w:r>
            <w:r w:rsidR="00955040" w:rsidRPr="00762E73">
              <w:rPr>
                <w:rFonts w:eastAsia="Arial Unicode MS"/>
                <w:snapToGrid w:val="0"/>
                <w:sz w:val="26"/>
                <w:szCs w:val="26"/>
                <w:rtl/>
              </w:rPr>
              <w:t xml:space="preserve">ם העיקריים, </w:t>
            </w:r>
            <w:r w:rsidRPr="00762E73">
              <w:rPr>
                <w:sz w:val="26"/>
                <w:szCs w:val="26"/>
                <w:rtl/>
              </w:rPr>
              <w:t>במקום "</w:t>
            </w:r>
            <w:r w:rsidR="00CC5279" w:rsidRPr="00CC5279">
              <w:rPr>
                <w:sz w:val="26"/>
                <w:szCs w:val="26"/>
                <w:rtl/>
              </w:rPr>
              <w:t>תוקפם של כללים אלה</w:t>
            </w:r>
            <w:r w:rsidR="00CC5279">
              <w:rPr>
                <w:rFonts w:hint="cs"/>
                <w:sz w:val="26"/>
                <w:szCs w:val="26"/>
                <w:rtl/>
              </w:rPr>
              <w:t xml:space="preserve"> </w:t>
            </w:r>
            <w:r w:rsidRPr="00762E73">
              <w:rPr>
                <w:sz w:val="26"/>
                <w:szCs w:val="26"/>
                <w:rtl/>
              </w:rPr>
              <w:t xml:space="preserve">עד יום י"א בכסלו </w:t>
            </w:r>
            <w:proofErr w:type="spellStart"/>
            <w:r w:rsidRPr="00762E73">
              <w:rPr>
                <w:sz w:val="26"/>
                <w:szCs w:val="26"/>
                <w:rtl/>
              </w:rPr>
              <w:t>התשפ"ו</w:t>
            </w:r>
            <w:proofErr w:type="spellEnd"/>
            <w:r w:rsidRPr="00762E73">
              <w:rPr>
                <w:sz w:val="26"/>
                <w:szCs w:val="26"/>
                <w:rtl/>
              </w:rPr>
              <w:t xml:space="preserve"> (1 בדצמבר 2025)" יבוא "</w:t>
            </w:r>
            <w:r w:rsidR="00CC5279" w:rsidRPr="00CC5279">
              <w:rPr>
                <w:sz w:val="26"/>
                <w:szCs w:val="26"/>
                <w:rtl/>
              </w:rPr>
              <w:t xml:space="preserve">תחילתם של כללים אלה </w:t>
            </w:r>
            <w:r w:rsidR="00CC5279">
              <w:rPr>
                <w:rFonts w:hint="cs"/>
                <w:sz w:val="26"/>
                <w:szCs w:val="26"/>
                <w:rtl/>
              </w:rPr>
              <w:t xml:space="preserve">ביום </w:t>
            </w:r>
            <w:r w:rsidR="00CC5279">
              <w:rPr>
                <w:rFonts w:ascii="Arial" w:eastAsia="Arial Unicode MS" w:hAnsi="Arial" w:hint="cs"/>
                <w:snapToGrid w:val="0"/>
                <w:sz w:val="20"/>
                <w:szCs w:val="26"/>
                <w:rtl/>
              </w:rPr>
              <w:t>ט"ז</w:t>
            </w:r>
            <w:r w:rsidR="00CC5279" w:rsidRPr="00E6387B">
              <w:rPr>
                <w:rFonts w:ascii="Arial" w:eastAsia="Arial Unicode MS" w:hAnsi="Arial" w:hint="cs"/>
                <w:snapToGrid w:val="0"/>
                <w:sz w:val="20"/>
                <w:szCs w:val="26"/>
                <w:rtl/>
              </w:rPr>
              <w:t xml:space="preserve"> </w:t>
            </w:r>
            <w:r w:rsidR="00CC5279">
              <w:rPr>
                <w:rFonts w:ascii="Arial" w:eastAsia="Arial Unicode MS" w:hAnsi="Arial" w:hint="cs"/>
                <w:snapToGrid w:val="0"/>
                <w:sz w:val="20"/>
                <w:szCs w:val="26"/>
                <w:rtl/>
              </w:rPr>
              <w:t>בסיון</w:t>
            </w:r>
            <w:r w:rsidR="00CC5279" w:rsidRPr="00E6387B">
              <w:rPr>
                <w:rFonts w:ascii="Arial" w:eastAsia="Arial Unicode MS" w:hAnsi="Arial" w:hint="cs"/>
                <w:snapToGrid w:val="0"/>
                <w:sz w:val="20"/>
                <w:szCs w:val="26"/>
                <w:rtl/>
              </w:rPr>
              <w:t xml:space="preserve"> תשפ"</w:t>
            </w:r>
            <w:r w:rsidR="00CC5279">
              <w:rPr>
                <w:rFonts w:ascii="Arial" w:eastAsia="Arial Unicode MS" w:hAnsi="Arial" w:hint="cs"/>
                <w:snapToGrid w:val="0"/>
                <w:sz w:val="20"/>
                <w:szCs w:val="26"/>
                <w:rtl/>
              </w:rPr>
              <w:t>ו</w:t>
            </w:r>
            <w:r w:rsidR="00CC5279" w:rsidRPr="00E6387B">
              <w:rPr>
                <w:rFonts w:ascii="Arial" w:eastAsia="Arial Unicode MS" w:hAnsi="Arial" w:hint="cs"/>
                <w:snapToGrid w:val="0"/>
                <w:sz w:val="20"/>
                <w:szCs w:val="26"/>
                <w:rtl/>
              </w:rPr>
              <w:t xml:space="preserve"> (</w:t>
            </w:r>
            <w:r w:rsidR="00CC5279">
              <w:rPr>
                <w:rFonts w:ascii="Arial" w:eastAsia="Arial Unicode MS" w:hAnsi="Arial" w:hint="cs"/>
                <w:snapToGrid w:val="0"/>
                <w:sz w:val="20"/>
                <w:szCs w:val="26"/>
                <w:rtl/>
              </w:rPr>
              <w:t>1</w:t>
            </w:r>
            <w:r w:rsidR="00CC5279" w:rsidRPr="00E6387B">
              <w:rPr>
                <w:rFonts w:ascii="Arial" w:eastAsia="Arial Unicode MS" w:hAnsi="Arial" w:hint="cs"/>
                <w:snapToGrid w:val="0"/>
                <w:sz w:val="20"/>
                <w:szCs w:val="26"/>
                <w:rtl/>
              </w:rPr>
              <w:t xml:space="preserve"> ב</w:t>
            </w:r>
            <w:r w:rsidR="00CC5279">
              <w:rPr>
                <w:rFonts w:ascii="Arial" w:eastAsia="Arial Unicode MS" w:hAnsi="Arial" w:hint="cs"/>
                <w:snapToGrid w:val="0"/>
                <w:sz w:val="20"/>
                <w:szCs w:val="26"/>
                <w:rtl/>
              </w:rPr>
              <w:t>יוני</w:t>
            </w:r>
            <w:r w:rsidR="00CC5279" w:rsidRPr="00E6387B">
              <w:rPr>
                <w:rFonts w:ascii="Arial" w:eastAsia="Arial Unicode MS" w:hAnsi="Arial" w:hint="cs"/>
                <w:snapToGrid w:val="0"/>
                <w:sz w:val="20"/>
                <w:szCs w:val="26"/>
                <w:rtl/>
              </w:rPr>
              <w:t xml:space="preserve"> 2026)</w:t>
            </w:r>
            <w:r w:rsidR="00CC5279" w:rsidRPr="00CC5279">
              <w:rPr>
                <w:sz w:val="26"/>
                <w:szCs w:val="26"/>
                <w:rtl/>
              </w:rPr>
              <w:t xml:space="preserve"> ותוקפם </w:t>
            </w:r>
            <w:r w:rsidRPr="00762E73">
              <w:rPr>
                <w:sz w:val="26"/>
                <w:szCs w:val="26"/>
                <w:rtl/>
              </w:rPr>
              <w:t>עד יום</w:t>
            </w:r>
            <w:r w:rsidR="00955040" w:rsidRPr="00762E73">
              <w:rPr>
                <w:sz w:val="26"/>
                <w:szCs w:val="26"/>
                <w:rtl/>
              </w:rPr>
              <w:t xml:space="preserve"> </w:t>
            </w:r>
            <w:r w:rsidR="00CA43E5" w:rsidRPr="00762E73">
              <w:rPr>
                <w:rFonts w:hint="cs"/>
                <w:sz w:val="26"/>
                <w:szCs w:val="26"/>
                <w:rtl/>
              </w:rPr>
              <w:t xml:space="preserve">י' </w:t>
            </w:r>
            <w:r w:rsidR="00955040" w:rsidRPr="00762E73">
              <w:rPr>
                <w:sz w:val="26"/>
                <w:szCs w:val="26"/>
                <w:rtl/>
              </w:rPr>
              <w:t>ב</w:t>
            </w:r>
            <w:r w:rsidR="00CA43E5" w:rsidRPr="00762E73">
              <w:rPr>
                <w:rFonts w:hint="cs"/>
                <w:sz w:val="26"/>
                <w:szCs w:val="26"/>
                <w:rtl/>
              </w:rPr>
              <w:t>סיון</w:t>
            </w:r>
            <w:r w:rsidR="00955040" w:rsidRPr="00762E73">
              <w:rPr>
                <w:sz w:val="26"/>
                <w:szCs w:val="26"/>
                <w:rtl/>
              </w:rPr>
              <w:t xml:space="preserve"> </w:t>
            </w:r>
            <w:r w:rsidR="00CA43E5" w:rsidRPr="00762E73">
              <w:rPr>
                <w:rFonts w:hint="cs"/>
                <w:sz w:val="26"/>
                <w:szCs w:val="26"/>
                <w:rtl/>
              </w:rPr>
              <w:t>תשצ"א</w:t>
            </w:r>
            <w:r w:rsidRPr="00762E73">
              <w:rPr>
                <w:sz w:val="26"/>
                <w:szCs w:val="26"/>
                <w:rtl/>
              </w:rPr>
              <w:t xml:space="preserve"> (</w:t>
            </w:r>
            <w:r w:rsidR="00955040" w:rsidRPr="00762E73">
              <w:rPr>
                <w:sz w:val="26"/>
                <w:szCs w:val="26"/>
                <w:rtl/>
              </w:rPr>
              <w:t>1 ב</w:t>
            </w:r>
            <w:r w:rsidR="00CA43E5" w:rsidRPr="00762E73">
              <w:rPr>
                <w:rFonts w:hint="cs"/>
                <w:sz w:val="26"/>
                <w:szCs w:val="26"/>
                <w:rtl/>
              </w:rPr>
              <w:t>יוני</w:t>
            </w:r>
            <w:r w:rsidR="00955040" w:rsidRPr="00762E73">
              <w:rPr>
                <w:sz w:val="26"/>
                <w:szCs w:val="26"/>
                <w:rtl/>
              </w:rPr>
              <w:t xml:space="preserve"> </w:t>
            </w:r>
            <w:r w:rsidR="00CA43E5" w:rsidRPr="00762E73">
              <w:rPr>
                <w:rFonts w:hint="cs"/>
                <w:sz w:val="26"/>
                <w:szCs w:val="26"/>
                <w:rtl/>
              </w:rPr>
              <w:t>2031</w:t>
            </w:r>
            <w:r w:rsidRPr="00762E73">
              <w:rPr>
                <w:sz w:val="26"/>
                <w:szCs w:val="26"/>
                <w:rtl/>
              </w:rPr>
              <w:t xml:space="preserve">)".  </w:t>
            </w:r>
          </w:p>
        </w:tc>
      </w:tr>
    </w:tbl>
    <w:p w14:paraId="0072C4D3" w14:textId="77777777" w:rsidR="00526E61" w:rsidRPr="008F5E4E" w:rsidRDefault="00526E61" w:rsidP="00526E61">
      <w:pPr>
        <w:bidi/>
        <w:rPr>
          <w:rFonts w:eastAsia="Calibri"/>
          <w:rtl/>
        </w:rPr>
      </w:pPr>
    </w:p>
    <w:p w14:paraId="4DF571E6" w14:textId="77777777" w:rsidR="00526E61" w:rsidRPr="008F5E4E" w:rsidRDefault="00526E61" w:rsidP="00526E61">
      <w:pPr>
        <w:bidi/>
        <w:rPr>
          <w:rFonts w:eastAsia="Calibri"/>
          <w:rtl/>
        </w:rPr>
      </w:pPr>
      <w:bookmarkStart w:id="6" w:name="_Hlk210047406"/>
      <w:r w:rsidRPr="008F5E4E">
        <w:rPr>
          <w:rFonts w:eastAsia="Calibri"/>
          <w:rtl/>
        </w:rPr>
        <w:t>___ ב________ התש_______ (___ ב________ ____20)</w:t>
      </w:r>
    </w:p>
    <w:p w14:paraId="5C1F5494" w14:textId="77777777" w:rsidR="00526E61" w:rsidRDefault="00526E61" w:rsidP="00526E61">
      <w:pPr>
        <w:bidi/>
        <w:rPr>
          <w:rFonts w:eastAsia="Calibri"/>
          <w:rtl/>
        </w:rPr>
      </w:pPr>
      <w:r w:rsidRPr="008F5E4E">
        <w:rPr>
          <w:rFonts w:eastAsia="Calibri"/>
          <w:rtl/>
        </w:rPr>
        <w:t>[תאריך עברי] ([תאריך לועזי])</w:t>
      </w:r>
    </w:p>
    <w:p w14:paraId="6810744E" w14:textId="72F4EA68" w:rsidR="00762E73" w:rsidRDefault="00762E73" w:rsidP="00762E73">
      <w:pPr>
        <w:bidi/>
        <w:rPr>
          <w:rFonts w:eastAsia="Calibri"/>
          <w:rtl/>
        </w:rPr>
      </w:pPr>
      <w:r>
        <w:rPr>
          <w:rFonts w:eastAsia="Calibri" w:hint="cs"/>
          <w:rtl/>
        </w:rPr>
        <w:t>(</w:t>
      </w:r>
      <w:proofErr w:type="spellStart"/>
      <w:r>
        <w:rPr>
          <w:rFonts w:eastAsia="Calibri" w:hint="cs"/>
          <w:rtl/>
        </w:rPr>
        <w:t>חמ</w:t>
      </w:r>
      <w:proofErr w:type="spellEnd"/>
      <w:r>
        <w:rPr>
          <w:rFonts w:eastAsia="Calibri" w:hint="cs"/>
          <w:rtl/>
        </w:rPr>
        <w:t xml:space="preserve"> _____)</w:t>
      </w:r>
    </w:p>
    <w:p w14:paraId="0EE45152" w14:textId="77777777" w:rsidR="00762E73" w:rsidRPr="008F5E4E" w:rsidRDefault="00762E73" w:rsidP="00762E73">
      <w:pPr>
        <w:bidi/>
        <w:rPr>
          <w:rFonts w:eastAsia="Calibri"/>
          <w:rtl/>
        </w:rPr>
      </w:pPr>
    </w:p>
    <w:p w14:paraId="2B7790E6" w14:textId="77777777" w:rsidR="006666B2" w:rsidRPr="008F5E4E" w:rsidRDefault="006666B2" w:rsidP="006666B2">
      <w:pPr>
        <w:bidi/>
        <w:rPr>
          <w:rFonts w:eastAsia="Calibri"/>
          <w:rtl/>
        </w:rPr>
      </w:pPr>
    </w:p>
    <w:p w14:paraId="38FC96C5" w14:textId="77777777" w:rsidR="00526E61" w:rsidRPr="008F5E4E" w:rsidRDefault="00526E61" w:rsidP="00526E61">
      <w:pPr>
        <w:bidi/>
        <w:spacing w:line="240" w:lineRule="auto"/>
        <w:ind w:left="5760"/>
        <w:jc w:val="center"/>
        <w:rPr>
          <w:rFonts w:eastAsia="Calibri"/>
          <w:rtl/>
        </w:rPr>
      </w:pPr>
    </w:p>
    <w:p w14:paraId="4D30D7B6" w14:textId="77777777" w:rsidR="00526E61" w:rsidRPr="008F5E4E" w:rsidRDefault="00526E61" w:rsidP="00526E61">
      <w:pPr>
        <w:bidi/>
        <w:ind w:left="5040"/>
        <w:jc w:val="center"/>
        <w:rPr>
          <w:rFonts w:eastAsia="Calibri"/>
          <w:rtl/>
        </w:rPr>
      </w:pPr>
      <w:r w:rsidRPr="008F5E4E">
        <w:rPr>
          <w:rFonts w:eastAsia="Calibri"/>
          <w:rtl/>
        </w:rPr>
        <w:t>__________________</w:t>
      </w:r>
    </w:p>
    <w:p w14:paraId="65D03A48" w14:textId="77777777" w:rsidR="00526E61" w:rsidRPr="008F5E4E" w:rsidRDefault="00526E61" w:rsidP="00526E61">
      <w:pPr>
        <w:bidi/>
        <w:ind w:left="5040"/>
        <w:jc w:val="center"/>
        <w:rPr>
          <w:rFonts w:eastAsia="Calibri"/>
          <w:rtl/>
        </w:rPr>
      </w:pPr>
      <w:r w:rsidRPr="008F5E4E">
        <w:rPr>
          <w:rFonts w:eastAsia="Calibri"/>
          <w:rtl/>
        </w:rPr>
        <w:t>מיכל כהן</w:t>
      </w:r>
    </w:p>
    <w:p w14:paraId="0058BBD8" w14:textId="77777777" w:rsidR="00526E61" w:rsidRPr="008F5E4E" w:rsidRDefault="00526E61" w:rsidP="00526E61">
      <w:pPr>
        <w:bidi/>
        <w:ind w:left="5040"/>
        <w:jc w:val="center"/>
        <w:rPr>
          <w:rFonts w:eastAsia="Calibri"/>
          <w:rtl/>
        </w:rPr>
      </w:pPr>
      <w:r w:rsidRPr="008F5E4E">
        <w:rPr>
          <w:rFonts w:eastAsia="Calibri"/>
          <w:rtl/>
        </w:rPr>
        <w:t>הממונה על התחרות</w:t>
      </w:r>
    </w:p>
    <w:p w14:paraId="672AFF38" w14:textId="77777777" w:rsidR="00526E61" w:rsidRPr="008F5E4E" w:rsidRDefault="00526E61" w:rsidP="00526E61">
      <w:pPr>
        <w:bidi/>
        <w:ind w:left="5040"/>
        <w:jc w:val="center"/>
        <w:rPr>
          <w:rFonts w:eastAsia="Calibri"/>
          <w:rtl/>
        </w:rPr>
      </w:pPr>
    </w:p>
    <w:p w14:paraId="778DF88F" w14:textId="77777777" w:rsidR="00526E61" w:rsidRPr="008F5E4E" w:rsidRDefault="00526E61" w:rsidP="00526E61">
      <w:pPr>
        <w:bidi/>
        <w:ind w:left="5040"/>
        <w:jc w:val="center"/>
        <w:rPr>
          <w:rFonts w:eastAsia="Calibri"/>
          <w:rtl/>
        </w:rPr>
      </w:pPr>
    </w:p>
    <w:p w14:paraId="1C857FC9" w14:textId="77777777" w:rsidR="00526E61" w:rsidRPr="008F5E4E" w:rsidRDefault="00526E61" w:rsidP="00526E61">
      <w:pPr>
        <w:bidi/>
        <w:ind w:left="5040"/>
        <w:jc w:val="center"/>
        <w:rPr>
          <w:rFonts w:eastAsia="Calibri"/>
          <w:rtl/>
        </w:rPr>
      </w:pPr>
      <w:r w:rsidRPr="008F5E4E">
        <w:rPr>
          <w:rFonts w:eastAsia="Calibri"/>
          <w:rtl/>
        </w:rPr>
        <w:t>__________________</w:t>
      </w:r>
    </w:p>
    <w:p w14:paraId="488402FB" w14:textId="2284972C" w:rsidR="00526E61" w:rsidRPr="008F5E4E" w:rsidRDefault="00762E73" w:rsidP="00526E61">
      <w:pPr>
        <w:bidi/>
        <w:ind w:left="5040"/>
        <w:jc w:val="center"/>
        <w:rPr>
          <w:rFonts w:eastAsia="Calibri"/>
          <w:rtl/>
        </w:rPr>
      </w:pPr>
      <w:r>
        <w:rPr>
          <w:rFonts w:eastAsia="Calibri" w:hint="cs"/>
          <w:rtl/>
        </w:rPr>
        <w:t>מ</w:t>
      </w:r>
      <w:r w:rsidR="00526E61" w:rsidRPr="008F5E4E">
        <w:rPr>
          <w:rFonts w:eastAsia="Calibri"/>
          <w:rtl/>
        </w:rPr>
        <w:t>אשר,</w:t>
      </w:r>
    </w:p>
    <w:p w14:paraId="0B734389" w14:textId="77777777" w:rsidR="00526E61" w:rsidRPr="008F5E4E" w:rsidRDefault="00526E61" w:rsidP="00526E61">
      <w:pPr>
        <w:bidi/>
        <w:ind w:left="5040"/>
        <w:jc w:val="center"/>
        <w:rPr>
          <w:rFonts w:eastAsia="Calibri"/>
          <w:rtl/>
        </w:rPr>
      </w:pPr>
      <w:r w:rsidRPr="008F5E4E">
        <w:rPr>
          <w:rFonts w:eastAsia="Calibri"/>
          <w:rtl/>
        </w:rPr>
        <w:t>ניר ברקת</w:t>
      </w:r>
    </w:p>
    <w:p w14:paraId="5FF284E8" w14:textId="77777777" w:rsidR="00526E61" w:rsidRPr="008F5E4E" w:rsidRDefault="00526E61" w:rsidP="00526E61">
      <w:pPr>
        <w:bidi/>
        <w:ind w:left="5040"/>
        <w:jc w:val="center"/>
        <w:rPr>
          <w:rFonts w:eastAsia="Calibri"/>
          <w:rtl/>
        </w:rPr>
      </w:pPr>
      <w:r w:rsidRPr="008F5E4E">
        <w:rPr>
          <w:rFonts w:eastAsia="Calibri"/>
          <w:rtl/>
        </w:rPr>
        <w:t>שר הכלכלה והתעשייה</w:t>
      </w:r>
    </w:p>
    <w:p w14:paraId="75E1A393" w14:textId="77777777" w:rsidR="00526E61" w:rsidRPr="008F5E4E" w:rsidRDefault="00526E61" w:rsidP="00526E61">
      <w:pPr>
        <w:bidi/>
        <w:ind w:left="5040"/>
        <w:jc w:val="center"/>
        <w:rPr>
          <w:rFonts w:eastAsia="Calibri"/>
          <w:rtl/>
        </w:rPr>
      </w:pPr>
    </w:p>
    <w:bookmarkEnd w:id="6"/>
    <w:p w14:paraId="2331E092" w14:textId="2A6800DA" w:rsidR="00526E61" w:rsidRPr="008F5E4E" w:rsidRDefault="00526E61" w:rsidP="00C22564">
      <w:pPr>
        <w:bidi/>
        <w:snapToGrid w:val="0"/>
        <w:spacing w:before="360" w:after="120"/>
        <w:jc w:val="center"/>
        <w:outlineLvl w:val="1"/>
        <w:rPr>
          <w:rFonts w:eastAsia="Arial Unicode MS"/>
          <w:b/>
          <w:snapToGrid w:val="0"/>
          <w:spacing w:val="40"/>
          <w:sz w:val="20"/>
          <w:szCs w:val="26"/>
        </w:rPr>
      </w:pPr>
      <w:r w:rsidRPr="008F5E4E">
        <w:rPr>
          <w:rFonts w:eastAsia="Arial Unicode MS"/>
          <w:b/>
          <w:snapToGrid w:val="0"/>
          <w:spacing w:val="40"/>
          <w:sz w:val="20"/>
          <w:szCs w:val="26"/>
          <w:rtl/>
        </w:rPr>
        <w:lastRenderedPageBreak/>
        <w:t>דברי הסבר</w:t>
      </w:r>
    </w:p>
    <w:p w14:paraId="31099B6C" w14:textId="77777777" w:rsidR="00E17626" w:rsidRPr="00DC2BAE" w:rsidRDefault="00E17626" w:rsidP="00E17626">
      <w:pPr>
        <w:bidi/>
        <w:spacing w:before="40" w:after="120" w:line="360" w:lineRule="auto"/>
        <w:ind w:left="180"/>
        <w:jc w:val="both"/>
        <w:outlineLvl w:val="3"/>
        <w:rPr>
          <w:sz w:val="26"/>
          <w:szCs w:val="26"/>
          <w:rtl/>
        </w:rPr>
      </w:pPr>
      <w:bookmarkStart w:id="7" w:name="_Hlk210146273"/>
      <w:r w:rsidRPr="00DC2BAE">
        <w:rPr>
          <w:sz w:val="26"/>
          <w:szCs w:val="26"/>
          <w:rtl/>
        </w:rPr>
        <w:t xml:space="preserve">בשנת 2013 הותקנו כללי התחרות הכלכלית (פטור סוג להסדרים בין מובילים באוויר) (מס' 2) (הוראת שעה), תשע"ד-2013 (להלן </w:t>
      </w:r>
      <w:r w:rsidRPr="00E17626">
        <w:rPr>
          <w:sz w:val="26"/>
          <w:szCs w:val="26"/>
          <w:rtl/>
        </w:rPr>
        <w:t>הפטור האווירי</w:t>
      </w:r>
      <w:r w:rsidRPr="00DC2BAE">
        <w:rPr>
          <w:sz w:val="26"/>
          <w:szCs w:val="26"/>
          <w:rtl/>
        </w:rPr>
        <w:t xml:space="preserve">), הפוטרים הסדרים תפעוליים וטכניים מסוימים, וכן מספר הסדרים המקובלים בתחום התעופה, כמו הסדרי נוסע מתמיד והסדרי קישוריות, מהצורך להגיש בקשת פטור מאישור הסדר כובל. הפטור האווירי בנוסחו הנוכחי, מאפשר לצדדים להסדרים כאמור, אשר עומדים בכללים הקבועים בפטור הסוג, ליהנות מ"נמל מבטחים" ולבצע את ההסדר ללא צורך בבחינה תחרותית מהותית של ההסדר. </w:t>
      </w:r>
    </w:p>
    <w:p w14:paraId="589C5779" w14:textId="77777777" w:rsidR="00E17626" w:rsidRPr="00DC2BAE" w:rsidRDefault="00E17626" w:rsidP="00E17626">
      <w:pPr>
        <w:bidi/>
        <w:spacing w:before="40" w:after="120" w:line="360" w:lineRule="auto"/>
        <w:ind w:left="180"/>
        <w:jc w:val="both"/>
        <w:outlineLvl w:val="3"/>
        <w:rPr>
          <w:sz w:val="26"/>
          <w:szCs w:val="26"/>
          <w:rtl/>
        </w:rPr>
      </w:pPr>
      <w:r w:rsidRPr="00DC2BAE">
        <w:rPr>
          <w:sz w:val="26"/>
          <w:szCs w:val="26"/>
          <w:rtl/>
        </w:rPr>
        <w:t xml:space="preserve">בשנת 2018 תוקן הפטור האווירי, והתווסף לו סעיף 7א, אשר מאפשר לצדדים להסדרים בין מובילים באוויר שאינם עומדים בתנאי "נמל המבטחים", לבצע בחינה תחרותית מהותית של ההסדרים ולהוציא אותם אל הפועל, כל עוד עיקרם אינו בהפחתת או מניעת תחרות, הכבילות הנכללות בהם נחוצות למימוש עיקרם והכבילות שבהסדר אינן מגבילות את התחרות בחלק ניכר של השוק המושפע, או שהן עשויות להגביל את התחרות אך אינן פוגעות פגיעה מהותית בתחרות בשוק הרלוונטי (להלן </w:t>
      </w:r>
      <w:r w:rsidRPr="00E17626">
        <w:rPr>
          <w:sz w:val="26"/>
          <w:szCs w:val="26"/>
          <w:rtl/>
        </w:rPr>
        <w:t>תנאי הערכה עצמית</w:t>
      </w:r>
      <w:r w:rsidRPr="00DC2BAE">
        <w:rPr>
          <w:sz w:val="26"/>
          <w:szCs w:val="26"/>
          <w:rtl/>
        </w:rPr>
        <w:t xml:space="preserve">). כחלק מהתיקון, תוקף פטור הסוג הוארך לתקופה של חמש שנים, עד ל-1 בדצמבר 2023. לאחרונה, תוקף הפטור הוארך שוב למשך שנתיים, עד לתאריך 1 בדצמבר 2025. </w:t>
      </w:r>
    </w:p>
    <w:p w14:paraId="00D4A39D" w14:textId="77777777" w:rsidR="00E17626" w:rsidRDefault="00E17626" w:rsidP="00E17626">
      <w:pPr>
        <w:bidi/>
        <w:spacing w:before="40" w:after="120" w:line="360" w:lineRule="auto"/>
        <w:ind w:left="180"/>
        <w:jc w:val="both"/>
        <w:outlineLvl w:val="3"/>
        <w:rPr>
          <w:sz w:val="26"/>
          <w:szCs w:val="26"/>
        </w:rPr>
      </w:pPr>
      <w:r w:rsidRPr="00DC2BAE">
        <w:rPr>
          <w:sz w:val="26"/>
          <w:szCs w:val="26"/>
          <w:rtl/>
        </w:rPr>
        <w:t xml:space="preserve">כלומר, נכון להיום, פטור הסוג האווירי כולל שני מסלולים – מסלול אחד של "נמל מבטחים" ומסלול שני של בחינה תחרותית מהותית. כאשר הסדר חוסה תחת פטור הסוג מאחר שהוא מקיים את תנאי "נמל מבטחים", אזי אין ביכולתה של רשות התחרות לבצע בגינו אכיפה בדיעבד. על פניו כללי "נמל המבטחים" אמורים להבטיח שההסדרים החוסים תחתם אינם פוגעים בתחרות, אך מכיוון שמדובר בכללים מובנים וקשיחים, כשמנגד המציאות היא דבר דינמי ומשתנה – יכול שיחסה תחת נמל המבטחים גם הסדר שעלול לפגוע בתחרות.   </w:t>
      </w:r>
    </w:p>
    <w:p w14:paraId="78956BAA" w14:textId="77777777" w:rsidR="00E17626" w:rsidRPr="00DC2BAE" w:rsidRDefault="00E17626" w:rsidP="00E17626">
      <w:pPr>
        <w:bidi/>
        <w:spacing w:before="40" w:after="120" w:line="360" w:lineRule="auto"/>
        <w:ind w:left="180"/>
        <w:jc w:val="both"/>
        <w:outlineLvl w:val="3"/>
        <w:rPr>
          <w:sz w:val="26"/>
          <w:szCs w:val="26"/>
          <w:rtl/>
        </w:rPr>
      </w:pPr>
      <w:r w:rsidRPr="00704B00">
        <w:rPr>
          <w:rFonts w:hint="cs"/>
          <w:sz w:val="26"/>
          <w:szCs w:val="26"/>
          <w:rtl/>
        </w:rPr>
        <w:t>טיוטת הפטור האווירי</w:t>
      </w:r>
      <w:r>
        <w:rPr>
          <w:rFonts w:hint="cs"/>
          <w:sz w:val="26"/>
          <w:szCs w:val="26"/>
          <w:rtl/>
        </w:rPr>
        <w:t xml:space="preserve"> הנוכחית,</w:t>
      </w:r>
      <w:r w:rsidRPr="00704B00">
        <w:rPr>
          <w:rFonts w:hint="cs"/>
          <w:sz w:val="26"/>
          <w:szCs w:val="26"/>
          <w:rtl/>
        </w:rPr>
        <w:t xml:space="preserve"> מציעה לצמצם את </w:t>
      </w:r>
      <w:r w:rsidRPr="00704B00">
        <w:rPr>
          <w:sz w:val="26"/>
          <w:szCs w:val="26"/>
          <w:rtl/>
        </w:rPr>
        <w:t xml:space="preserve">היקף </w:t>
      </w:r>
      <w:r w:rsidRPr="00704B00">
        <w:rPr>
          <w:rFonts w:hint="cs"/>
          <w:sz w:val="26"/>
          <w:szCs w:val="26"/>
          <w:rtl/>
        </w:rPr>
        <w:t>הפטור האווירי</w:t>
      </w:r>
      <w:r w:rsidRPr="00704B00">
        <w:rPr>
          <w:sz w:val="26"/>
          <w:szCs w:val="26"/>
          <w:rtl/>
        </w:rPr>
        <w:t>, כך שיי</w:t>
      </w:r>
      <w:r w:rsidRPr="00704B00">
        <w:rPr>
          <w:rFonts w:hint="cs"/>
          <w:sz w:val="26"/>
          <w:szCs w:val="26"/>
          <w:rtl/>
        </w:rPr>
        <w:t>וות</w:t>
      </w:r>
      <w:r w:rsidRPr="00704B00">
        <w:rPr>
          <w:sz w:val="26"/>
          <w:szCs w:val="26"/>
          <w:rtl/>
        </w:rPr>
        <w:t xml:space="preserve">ר רק החלק המתבסס על בחינה עצמית של ההסדרים, תוך ביטול </w:t>
      </w:r>
      <w:r w:rsidRPr="00704B00">
        <w:rPr>
          <w:rFonts w:hint="cs"/>
          <w:sz w:val="26"/>
          <w:szCs w:val="26"/>
          <w:rtl/>
        </w:rPr>
        <w:t>החלק שמעניק "נמל מבטחים"</w:t>
      </w:r>
      <w:r w:rsidRPr="00704B00">
        <w:rPr>
          <w:sz w:val="26"/>
          <w:szCs w:val="26"/>
          <w:rtl/>
        </w:rPr>
        <w:t xml:space="preserve"> להסדרים מסוימים</w:t>
      </w:r>
      <w:r w:rsidRPr="00704B00">
        <w:rPr>
          <w:sz w:val="26"/>
          <w:szCs w:val="26"/>
        </w:rPr>
        <w:t>.</w:t>
      </w:r>
    </w:p>
    <w:p w14:paraId="17504A5A" w14:textId="77777777" w:rsidR="00E17626" w:rsidRPr="00586F00" w:rsidRDefault="00E17626" w:rsidP="00E17626">
      <w:pPr>
        <w:bidi/>
        <w:spacing w:before="40" w:after="120" w:line="360" w:lineRule="auto"/>
        <w:ind w:left="180"/>
        <w:jc w:val="both"/>
        <w:outlineLvl w:val="3"/>
        <w:rPr>
          <w:rFonts w:ascii="Alef" w:hAnsi="Alef" w:cs="Alef"/>
          <w:sz w:val="26"/>
          <w:szCs w:val="26"/>
        </w:rPr>
      </w:pPr>
      <w:r w:rsidRPr="00E17626">
        <w:rPr>
          <w:sz w:val="26"/>
          <w:szCs w:val="26"/>
          <w:rtl/>
        </w:rPr>
        <w:t>התועלת במעבר לביצוע בחינה עצמית, היא רבה. בבחינה עצמית, הצדדים מבצעים בעצמם בדיקה כלכלית הבוחנת האם ההסדר הספציפי שלהם מעלה חשש לפגיעה משמעותית בתחרות בשוק, לאורך משך קיומו. רק כאשר התשובה שלילית, הם רשאים לבצע את ההסדר. יחד עם זאת, ככל שהצדדים שגו בהערכה שביצעו להסדר ומדובר בהסדר שמעלה חשש לפגיעה משמעותית בתחרות בשוק, שאינו עומד בתנאי ההערכה העצמית, הרי שמדובר על הסדר כובל אסור על פי חוק התחרות, ולממונה על התחרות סמכות לאכוף כנגד הצדדים לו בגין עריכתו ולהטיל עליהם את הסנקציות הקבועות בחוק, למשל, עיצומים כספיים. כמו כן, כחלק מההערכה העצמית, על הצדדים להבטיח כי תנאי ההערכה עצמית מתקיימים ביחס להסדר לאורך כל חיי ההסדר. אין די בכך שהסדר מסוים עומד בתנאי הערכה עצמית ברגע תחילתו, אלא הוא צריך לעמוד בתנאים אלו לאורך כל חיי ההסדר. ככל שלאחר זמן מה הסדר לא עומד יותר בתנאי הערכה עצמית</w:t>
      </w:r>
      <w:r w:rsidRPr="00E8222A">
        <w:rPr>
          <w:sz w:val="26"/>
          <w:szCs w:val="26"/>
          <w:rtl/>
        </w:rPr>
        <w:t xml:space="preserve">, ההסדר אינו חוסה יותר תחת פטור הסוג, והופך לאסור על פי החוק. בנוסף, הסדרים "עירומים", כלומר, הסדרים שעיקרם בהפחתת תחרות או שהם כוללים כבילות שאין </w:t>
      </w:r>
      <w:r w:rsidRPr="00E8222A">
        <w:rPr>
          <w:sz w:val="26"/>
          <w:szCs w:val="26"/>
          <w:rtl/>
        </w:rPr>
        <w:lastRenderedPageBreak/>
        <w:t>נחוצות למימוש עיקרם, אינם יכולים, בכל מקרה, לעבור את הבחינה העצמית ומדובר בהסדרים אסורים.</w:t>
      </w:r>
    </w:p>
    <w:p w14:paraId="2E0D71A3" w14:textId="77777777" w:rsidR="00586F00" w:rsidRPr="00586F00" w:rsidRDefault="00586F00" w:rsidP="00586F00">
      <w:pPr>
        <w:bidi/>
        <w:spacing w:before="40" w:after="120" w:line="360" w:lineRule="auto"/>
        <w:ind w:left="180"/>
        <w:jc w:val="both"/>
        <w:outlineLvl w:val="3"/>
        <w:rPr>
          <w:sz w:val="26"/>
          <w:szCs w:val="26"/>
          <w:rtl/>
        </w:rPr>
      </w:pPr>
      <w:r w:rsidRPr="00586F00">
        <w:rPr>
          <w:sz w:val="26"/>
          <w:szCs w:val="26"/>
          <w:rtl/>
        </w:rPr>
        <w:t>לעמדת הרשות, הרחבת השימוש ב</w:t>
      </w:r>
      <w:r w:rsidRPr="00586F00">
        <w:rPr>
          <w:rFonts w:hint="cs"/>
          <w:sz w:val="26"/>
          <w:szCs w:val="26"/>
          <w:rtl/>
        </w:rPr>
        <w:t>בחינה</w:t>
      </w:r>
      <w:r w:rsidRPr="00586F00">
        <w:rPr>
          <w:sz w:val="26"/>
          <w:szCs w:val="26"/>
          <w:rtl/>
        </w:rPr>
        <w:t xml:space="preserve"> עצמית הביאה למיקוד האכיפה כלפי הסדרים כובלים </w:t>
      </w:r>
      <w:proofErr w:type="spellStart"/>
      <w:r w:rsidRPr="00586F00">
        <w:rPr>
          <w:sz w:val="26"/>
          <w:szCs w:val="26"/>
          <w:rtl/>
        </w:rPr>
        <w:t>בפרקטיקות</w:t>
      </w:r>
      <w:proofErr w:type="spellEnd"/>
      <w:r w:rsidRPr="00586F00">
        <w:rPr>
          <w:sz w:val="26"/>
          <w:szCs w:val="26"/>
          <w:rtl/>
        </w:rPr>
        <w:t xml:space="preserve"> שהסבירות שהן אכן מסכנות את התחרות גבוהה יותר, ובד בבד הביאה לצמצום החשיפה לאכיפה פלילית, מנהלית ואזרחית מקום שזו אינה מתחייבת, לחיסכון במשאבים ולהפחתת הנטל הביורוקרטי. </w:t>
      </w:r>
    </w:p>
    <w:p w14:paraId="54CD3D80" w14:textId="77777777" w:rsidR="00586F00" w:rsidRPr="00586F00" w:rsidRDefault="00586F00" w:rsidP="00586F00">
      <w:pPr>
        <w:bidi/>
        <w:spacing w:before="40" w:after="120" w:line="360" w:lineRule="auto"/>
        <w:ind w:left="180"/>
        <w:jc w:val="both"/>
        <w:outlineLvl w:val="3"/>
        <w:rPr>
          <w:sz w:val="26"/>
          <w:szCs w:val="26"/>
        </w:rPr>
      </w:pPr>
      <w:r w:rsidRPr="00586F00">
        <w:rPr>
          <w:rFonts w:hint="cs"/>
          <w:sz w:val="26"/>
          <w:szCs w:val="26"/>
          <w:rtl/>
        </w:rPr>
        <w:t xml:space="preserve">נציין כי העובדה שהסדרים מסוימים חוסים כיום, לפני ביטול סעיפי </w:t>
      </w:r>
      <w:r w:rsidRPr="00586F00">
        <w:rPr>
          <w:sz w:val="26"/>
          <w:szCs w:val="26"/>
          <w:rtl/>
        </w:rPr>
        <w:br/>
      </w:r>
      <w:r w:rsidRPr="00586F00">
        <w:rPr>
          <w:rFonts w:hint="cs"/>
          <w:sz w:val="26"/>
          <w:szCs w:val="26"/>
          <w:rtl/>
        </w:rPr>
        <w:t xml:space="preserve">"נמל המבטחים", תחת הפטור האווירי, לא קובעת כי הסדרים אלו הם בהכרח הסדרים כובלים.  </w:t>
      </w:r>
    </w:p>
    <w:p w14:paraId="60BD35AF" w14:textId="77777777" w:rsidR="00586F00" w:rsidRPr="00586F00" w:rsidRDefault="00586F00" w:rsidP="00586F00">
      <w:pPr>
        <w:bidi/>
        <w:spacing w:before="40" w:after="120" w:line="360" w:lineRule="auto"/>
        <w:ind w:left="180"/>
        <w:jc w:val="both"/>
        <w:outlineLvl w:val="3"/>
        <w:rPr>
          <w:sz w:val="26"/>
          <w:szCs w:val="26"/>
        </w:rPr>
      </w:pPr>
      <w:bookmarkStart w:id="8" w:name="_Hlk209972549"/>
      <w:r w:rsidRPr="00586F00">
        <w:rPr>
          <w:sz w:val="26"/>
          <w:szCs w:val="26"/>
          <w:rtl/>
        </w:rPr>
        <w:t xml:space="preserve">לאור העובדה </w:t>
      </w:r>
      <w:r w:rsidRPr="00586F00">
        <w:rPr>
          <w:rFonts w:hint="cs"/>
          <w:sz w:val="26"/>
          <w:szCs w:val="26"/>
          <w:rtl/>
        </w:rPr>
        <w:t>שהפטור האווירי</w:t>
      </w:r>
      <w:r w:rsidRPr="00586F00">
        <w:rPr>
          <w:sz w:val="26"/>
          <w:szCs w:val="26"/>
          <w:rtl/>
        </w:rPr>
        <w:t xml:space="preserve"> פוקע ביום </w:t>
      </w:r>
      <w:r w:rsidRPr="00586F00">
        <w:rPr>
          <w:rFonts w:hint="cs"/>
          <w:sz w:val="26"/>
          <w:szCs w:val="26"/>
          <w:rtl/>
        </w:rPr>
        <w:t xml:space="preserve">1 בדצמבר </w:t>
      </w:r>
      <w:r w:rsidRPr="00586F00">
        <w:rPr>
          <w:sz w:val="26"/>
          <w:szCs w:val="26"/>
          <w:rtl/>
        </w:rPr>
        <w:t>2025, רשות התחרות מכירה בכך ש</w:t>
      </w:r>
      <w:r w:rsidRPr="00586F00">
        <w:rPr>
          <w:rFonts w:hint="cs"/>
          <w:sz w:val="26"/>
          <w:szCs w:val="26"/>
          <w:rtl/>
        </w:rPr>
        <w:t>נדרשת תקופת התארגנות</w:t>
      </w:r>
      <w:r w:rsidRPr="00586F00">
        <w:rPr>
          <w:sz w:val="26"/>
          <w:szCs w:val="26"/>
          <w:rtl/>
        </w:rPr>
        <w:t xml:space="preserve">. על כן, מוצע להאריך את </w:t>
      </w:r>
      <w:r w:rsidRPr="00586F00">
        <w:rPr>
          <w:rFonts w:hint="cs"/>
          <w:sz w:val="26"/>
          <w:szCs w:val="26"/>
          <w:rtl/>
        </w:rPr>
        <w:t>הפטור האווירי</w:t>
      </w:r>
      <w:r w:rsidRPr="00586F00">
        <w:rPr>
          <w:sz w:val="26"/>
          <w:szCs w:val="26"/>
          <w:rtl/>
        </w:rPr>
        <w:t xml:space="preserve"> לתקופה של שישה חודשים נוספים, שיהוו תקופת התארגנות עבור תחום </w:t>
      </w:r>
      <w:r w:rsidRPr="00586F00">
        <w:rPr>
          <w:rFonts w:hint="cs"/>
          <w:sz w:val="26"/>
          <w:szCs w:val="26"/>
          <w:rtl/>
        </w:rPr>
        <w:t>התעופה</w:t>
      </w:r>
      <w:r w:rsidRPr="00586F00">
        <w:rPr>
          <w:sz w:val="26"/>
          <w:szCs w:val="26"/>
          <w:rtl/>
        </w:rPr>
        <w:t xml:space="preserve">, לפני </w:t>
      </w:r>
      <w:r w:rsidRPr="00586F00">
        <w:rPr>
          <w:rFonts w:hint="cs"/>
          <w:sz w:val="26"/>
          <w:szCs w:val="26"/>
          <w:rtl/>
        </w:rPr>
        <w:t>שינוי</w:t>
      </w:r>
      <w:r w:rsidRPr="00586F00">
        <w:rPr>
          <w:sz w:val="26"/>
          <w:szCs w:val="26"/>
          <w:rtl/>
        </w:rPr>
        <w:t>ו של הפטור באופן סופי</w:t>
      </w:r>
      <w:r w:rsidRPr="00586F00">
        <w:rPr>
          <w:sz w:val="26"/>
          <w:szCs w:val="26"/>
        </w:rPr>
        <w:t>.</w:t>
      </w:r>
    </w:p>
    <w:bookmarkEnd w:id="7"/>
    <w:bookmarkEnd w:id="8"/>
    <w:p w14:paraId="529C7122" w14:textId="172E7536" w:rsidR="00526E61" w:rsidRPr="00704B00" w:rsidRDefault="00526E61" w:rsidP="007E3621">
      <w:pPr>
        <w:bidi/>
        <w:spacing w:before="40" w:after="120" w:line="360" w:lineRule="auto"/>
        <w:ind w:left="360"/>
        <w:jc w:val="both"/>
        <w:outlineLvl w:val="3"/>
        <w:rPr>
          <w:rFonts w:eastAsia="Calibri"/>
          <w:color w:val="000000"/>
          <w:szCs w:val="28"/>
        </w:rPr>
      </w:pPr>
    </w:p>
    <w:sectPr w:rsidR="00526E61" w:rsidRPr="00704B00" w:rsidSect="00526E61">
      <w:pgSz w:w="11906" w:h="16838"/>
      <w:pgMar w:top="1701" w:right="1134" w:bottom="1417" w:left="1134"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B6E51" w14:textId="77777777" w:rsidR="00FA7F04" w:rsidRDefault="00FA7F04" w:rsidP="00526E61">
      <w:pPr>
        <w:spacing w:after="0" w:line="240" w:lineRule="auto"/>
      </w:pPr>
      <w:r>
        <w:separator/>
      </w:r>
    </w:p>
  </w:endnote>
  <w:endnote w:type="continuationSeparator" w:id="0">
    <w:p w14:paraId="656DA7B1" w14:textId="77777777" w:rsidR="00FA7F04" w:rsidRDefault="00FA7F04" w:rsidP="00526E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ptos Display">
    <w:altName w:val="Calibri"/>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lef">
    <w:panose1 w:val="00000500000000000000"/>
    <w:charset w:val="00"/>
    <w:family w:val="auto"/>
    <w:pitch w:val="variable"/>
    <w:sig w:usb0="00000807" w:usb1="40000000" w:usb2="00000000" w:usb3="00000000" w:csb0="000000B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E32C2" w14:textId="77777777" w:rsidR="00FA7F04" w:rsidRDefault="00FA7F04" w:rsidP="00526E61">
      <w:pPr>
        <w:spacing w:after="0" w:line="240" w:lineRule="auto"/>
      </w:pPr>
      <w:r>
        <w:separator/>
      </w:r>
    </w:p>
  </w:footnote>
  <w:footnote w:type="continuationSeparator" w:id="0">
    <w:p w14:paraId="79C99F11" w14:textId="77777777" w:rsidR="00FA7F04" w:rsidRDefault="00FA7F04" w:rsidP="00526E61">
      <w:pPr>
        <w:spacing w:after="0" w:line="240" w:lineRule="auto"/>
      </w:pPr>
      <w:r>
        <w:continuationSeparator/>
      </w:r>
    </w:p>
  </w:footnote>
  <w:footnote w:id="1">
    <w:p w14:paraId="672D0F6B" w14:textId="77777777" w:rsidR="00762E73" w:rsidRDefault="00762E73" w:rsidP="00762E73">
      <w:pPr>
        <w:pStyle w:val="FootnoteText"/>
        <w:rPr>
          <w:rtl/>
        </w:rPr>
      </w:pPr>
      <w:r>
        <w:rPr>
          <w:rStyle w:val="FootnoteReference"/>
        </w:rPr>
        <w:footnoteRef/>
      </w:r>
      <w:r>
        <w:rPr>
          <w:rtl/>
        </w:rPr>
        <w:t xml:space="preserve"> </w:t>
      </w:r>
      <w:r>
        <w:rPr>
          <w:rFonts w:hint="cs"/>
          <w:rtl/>
        </w:rPr>
        <w:t>ס"ח התשמ"ח, עמ' 123; ס"ח התש"ס, עמ' 113.</w:t>
      </w:r>
    </w:p>
  </w:footnote>
  <w:footnote w:id="2">
    <w:p w14:paraId="20FF0A6B" w14:textId="053AF951" w:rsidR="007D13FE" w:rsidRDefault="007D13FE" w:rsidP="009A0774">
      <w:pPr>
        <w:pStyle w:val="FootnoteText"/>
        <w:rPr>
          <w:rtl/>
        </w:rPr>
      </w:pPr>
      <w:r>
        <w:rPr>
          <w:rStyle w:val="FootnoteReference"/>
        </w:rPr>
        <w:footnoteRef/>
      </w:r>
      <w:r>
        <w:rPr>
          <w:rtl/>
        </w:rPr>
        <w:t xml:space="preserve"> </w:t>
      </w:r>
      <w:bookmarkStart w:id="5" w:name="_Hlk210047856"/>
      <w:r w:rsidRPr="007D13FE">
        <w:rPr>
          <w:rtl/>
        </w:rPr>
        <w:t>ק"ת תשע"ד</w:t>
      </w:r>
      <w:r>
        <w:rPr>
          <w:rFonts w:hint="cs"/>
          <w:rtl/>
        </w:rPr>
        <w:t xml:space="preserve">, </w:t>
      </w:r>
      <w:r w:rsidRPr="007D13FE">
        <w:rPr>
          <w:rtl/>
        </w:rPr>
        <w:t>עמ' 278</w:t>
      </w:r>
      <w:r w:rsidR="00557DB0">
        <w:rPr>
          <w:rFonts w:hint="cs"/>
          <w:rtl/>
        </w:rPr>
        <w:t xml:space="preserve">; </w:t>
      </w:r>
      <w:r w:rsidR="009A0774" w:rsidRPr="009A0774">
        <w:rPr>
          <w:rtl/>
        </w:rPr>
        <w:t>התשע"ט, עמ' 1362 ועמ' 144</w:t>
      </w:r>
      <w:r w:rsidR="009A0774">
        <w:rPr>
          <w:rFonts w:hint="cs"/>
          <w:rtl/>
        </w:rPr>
        <w:t>4</w:t>
      </w:r>
      <w:r w:rsidR="00557DB0">
        <w:rPr>
          <w:rFonts w:hint="cs"/>
          <w:rtl/>
        </w:rPr>
        <w:t>;</w:t>
      </w:r>
      <w:r>
        <w:rPr>
          <w:rFonts w:hint="cs"/>
          <w:rtl/>
        </w:rPr>
        <w:t xml:space="preserve"> </w:t>
      </w:r>
      <w:r w:rsidR="00557DB0" w:rsidRPr="00557DB0">
        <w:rPr>
          <w:rtl/>
        </w:rPr>
        <w:t xml:space="preserve">ק"ת תשפ"ד </w:t>
      </w:r>
      <w:r w:rsidR="00557DB0">
        <w:rPr>
          <w:rFonts w:hint="cs"/>
          <w:rtl/>
        </w:rPr>
        <w:t xml:space="preserve">עמ' </w:t>
      </w:r>
      <w:r w:rsidR="00557DB0" w:rsidRPr="00557DB0">
        <w:rPr>
          <w:rtl/>
        </w:rPr>
        <w:t>634</w:t>
      </w:r>
      <w:r w:rsidR="00557DB0">
        <w:rPr>
          <w:rFonts w:hint="cs"/>
          <w:rtl/>
        </w:rPr>
        <w:t>.</w:t>
      </w:r>
      <w:bookmarkEnd w:id="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F1773"/>
    <w:multiLevelType w:val="hybridMultilevel"/>
    <w:tmpl w:val="6E8A1368"/>
    <w:lvl w:ilvl="0" w:tplc="E9FE3186">
      <w:start w:val="1"/>
      <w:numFmt w:val="decimal"/>
      <w:lvlText w:val="%1."/>
      <w:lvlJc w:val="left"/>
      <w:pPr>
        <w:ind w:left="540" w:hanging="360"/>
      </w:pPr>
      <w:rPr>
        <w:rFonts w:hint="default"/>
        <w:b w:val="0"/>
        <w:bCs w:val="0"/>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28437B2"/>
    <w:multiLevelType w:val="hybridMultilevel"/>
    <w:tmpl w:val="2736C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B3823"/>
    <w:multiLevelType w:val="hybridMultilevel"/>
    <w:tmpl w:val="6E8A1368"/>
    <w:lvl w:ilvl="0" w:tplc="E9FE3186">
      <w:start w:val="1"/>
      <w:numFmt w:val="decimal"/>
      <w:lvlText w:val="%1."/>
      <w:lvlJc w:val="left"/>
      <w:pPr>
        <w:ind w:left="540" w:hanging="360"/>
      </w:pPr>
      <w:rPr>
        <w:rFonts w:hint="default"/>
        <w:b w:val="0"/>
        <w:bCs w:val="0"/>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96E5495"/>
    <w:multiLevelType w:val="hybridMultilevel"/>
    <w:tmpl w:val="2736C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F62D4A"/>
    <w:multiLevelType w:val="hybridMultilevel"/>
    <w:tmpl w:val="2BD05424"/>
    <w:lvl w:ilvl="0" w:tplc="AAF89C5E">
      <w:start w:val="1"/>
      <w:numFmt w:val="hebrew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6B91B4E"/>
    <w:multiLevelType w:val="hybridMultilevel"/>
    <w:tmpl w:val="3B5C8BA8"/>
    <w:lvl w:ilvl="0" w:tplc="3294BBD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6BF5DDD"/>
    <w:multiLevelType w:val="hybridMultilevel"/>
    <w:tmpl w:val="6E8A1368"/>
    <w:lvl w:ilvl="0" w:tplc="FFFFFFFF">
      <w:start w:val="1"/>
      <w:numFmt w:val="decimal"/>
      <w:lvlText w:val="%1."/>
      <w:lvlJc w:val="left"/>
      <w:pPr>
        <w:ind w:left="540" w:hanging="360"/>
      </w:pPr>
      <w:rPr>
        <w:rFonts w:hint="default"/>
        <w:b w:val="0"/>
        <w:bCs w:val="0"/>
      </w:rPr>
    </w:lvl>
    <w:lvl w:ilvl="1" w:tplc="FFFFFFFF">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7" w15:restartNumberingAfterBreak="0">
    <w:nsid w:val="6C414702"/>
    <w:multiLevelType w:val="hybridMultilevel"/>
    <w:tmpl w:val="3B5C8B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53C544D"/>
    <w:multiLevelType w:val="hybridMultilevel"/>
    <w:tmpl w:val="EBB407C8"/>
    <w:lvl w:ilvl="0" w:tplc="0409000F">
      <w:start w:val="1"/>
      <w:numFmt w:val="decimal"/>
      <w:lvlText w:val="%1."/>
      <w:lvlJc w:val="left"/>
      <w:pPr>
        <w:tabs>
          <w:tab w:val="num" w:pos="0"/>
        </w:tabs>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1"/>
  </w:num>
  <w:num w:numId="4">
    <w:abstractNumId w:val="5"/>
  </w:num>
  <w:num w:numId="5">
    <w:abstractNumId w:val="7"/>
  </w:num>
  <w:num w:numId="6">
    <w:abstractNumId w:val="0"/>
  </w:num>
  <w:num w:numId="7">
    <w:abstractNumId w:val="4"/>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E61"/>
    <w:rsid w:val="00007980"/>
    <w:rsid w:val="00040A16"/>
    <w:rsid w:val="000414B1"/>
    <w:rsid w:val="000712F4"/>
    <w:rsid w:val="00073E0D"/>
    <w:rsid w:val="00093F4E"/>
    <w:rsid w:val="00125568"/>
    <w:rsid w:val="00132285"/>
    <w:rsid w:val="001455F4"/>
    <w:rsid w:val="00187AA6"/>
    <w:rsid w:val="001C36EA"/>
    <w:rsid w:val="001C4DB5"/>
    <w:rsid w:val="001D5E21"/>
    <w:rsid w:val="001E6712"/>
    <w:rsid w:val="002101A5"/>
    <w:rsid w:val="00254F1C"/>
    <w:rsid w:val="002675E2"/>
    <w:rsid w:val="00286688"/>
    <w:rsid w:val="002C0F19"/>
    <w:rsid w:val="002C4656"/>
    <w:rsid w:val="002D2B35"/>
    <w:rsid w:val="002E32A6"/>
    <w:rsid w:val="0030281F"/>
    <w:rsid w:val="0033701C"/>
    <w:rsid w:val="0033734A"/>
    <w:rsid w:val="00367C20"/>
    <w:rsid w:val="00376B2E"/>
    <w:rsid w:val="00384A1F"/>
    <w:rsid w:val="0039784B"/>
    <w:rsid w:val="003B66E3"/>
    <w:rsid w:val="003C584E"/>
    <w:rsid w:val="003D7793"/>
    <w:rsid w:val="00411E2F"/>
    <w:rsid w:val="00417E88"/>
    <w:rsid w:val="00450BBC"/>
    <w:rsid w:val="004563E7"/>
    <w:rsid w:val="004C1603"/>
    <w:rsid w:val="00526E61"/>
    <w:rsid w:val="00534EF6"/>
    <w:rsid w:val="00557DB0"/>
    <w:rsid w:val="005768AC"/>
    <w:rsid w:val="00577358"/>
    <w:rsid w:val="00586F00"/>
    <w:rsid w:val="005A1EA3"/>
    <w:rsid w:val="005A5D7B"/>
    <w:rsid w:val="005E1D52"/>
    <w:rsid w:val="005E6B86"/>
    <w:rsid w:val="00622AEC"/>
    <w:rsid w:val="006666B2"/>
    <w:rsid w:val="006D5A2F"/>
    <w:rsid w:val="00704B00"/>
    <w:rsid w:val="00707700"/>
    <w:rsid w:val="00762E73"/>
    <w:rsid w:val="007657E6"/>
    <w:rsid w:val="00774F4A"/>
    <w:rsid w:val="007D13FE"/>
    <w:rsid w:val="007E3621"/>
    <w:rsid w:val="00807E8A"/>
    <w:rsid w:val="00826521"/>
    <w:rsid w:val="008C0A05"/>
    <w:rsid w:val="008E5015"/>
    <w:rsid w:val="008F5E4E"/>
    <w:rsid w:val="009510C4"/>
    <w:rsid w:val="00955040"/>
    <w:rsid w:val="00980655"/>
    <w:rsid w:val="00990695"/>
    <w:rsid w:val="009921C5"/>
    <w:rsid w:val="009A0774"/>
    <w:rsid w:val="009C1C90"/>
    <w:rsid w:val="009F0F2B"/>
    <w:rsid w:val="009F3644"/>
    <w:rsid w:val="009F3FCE"/>
    <w:rsid w:val="00A16F4B"/>
    <w:rsid w:val="00A31197"/>
    <w:rsid w:val="00A35F97"/>
    <w:rsid w:val="00A65077"/>
    <w:rsid w:val="00A67837"/>
    <w:rsid w:val="00AD0AE3"/>
    <w:rsid w:val="00B77624"/>
    <w:rsid w:val="00BC2D62"/>
    <w:rsid w:val="00BD7F1E"/>
    <w:rsid w:val="00BE6D6B"/>
    <w:rsid w:val="00C22564"/>
    <w:rsid w:val="00C67392"/>
    <w:rsid w:val="00CA43E5"/>
    <w:rsid w:val="00CB23AA"/>
    <w:rsid w:val="00CC1577"/>
    <w:rsid w:val="00CC5279"/>
    <w:rsid w:val="00CE0EBA"/>
    <w:rsid w:val="00D17147"/>
    <w:rsid w:val="00D21233"/>
    <w:rsid w:val="00D22E0D"/>
    <w:rsid w:val="00D85969"/>
    <w:rsid w:val="00DA1A3B"/>
    <w:rsid w:val="00DA4A6A"/>
    <w:rsid w:val="00DB1DB0"/>
    <w:rsid w:val="00DC2BAE"/>
    <w:rsid w:val="00DC761E"/>
    <w:rsid w:val="00E17626"/>
    <w:rsid w:val="00E2439E"/>
    <w:rsid w:val="00E8222A"/>
    <w:rsid w:val="00E90D55"/>
    <w:rsid w:val="00E921F8"/>
    <w:rsid w:val="00EF0BB4"/>
    <w:rsid w:val="00F07839"/>
    <w:rsid w:val="00F5381A"/>
    <w:rsid w:val="00F675EC"/>
    <w:rsid w:val="00FA7F04"/>
    <w:rsid w:val="00FB75B1"/>
    <w:rsid w:val="00FD475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5F20B"/>
  <w15:chartTrackingRefBased/>
  <w15:docId w15:val="{3E00DF26-4252-4A34-BBBB-973A5028B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he-IL"/>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6E61"/>
    <w:pPr>
      <w:spacing w:line="259" w:lineRule="auto"/>
    </w:pPr>
    <w:rPr>
      <w:rFonts w:ascii="David" w:hAnsi="David" w:cs="David"/>
      <w:kern w:val="0"/>
      <w14:ligatures w14:val="none"/>
    </w:rPr>
  </w:style>
  <w:style w:type="paragraph" w:styleId="Heading1">
    <w:name w:val="heading 1"/>
    <w:basedOn w:val="Normal"/>
    <w:next w:val="Normal"/>
    <w:link w:val="Heading1Char"/>
    <w:uiPriority w:val="9"/>
    <w:qFormat/>
    <w:rsid w:val="00526E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26E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26E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526E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26E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26E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26E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26E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26E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6E6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26E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26E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526E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26E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26E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6E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6E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6E61"/>
    <w:rPr>
      <w:rFonts w:eastAsiaTheme="majorEastAsia" w:cstheme="majorBidi"/>
      <w:color w:val="272727" w:themeColor="text1" w:themeTint="D8"/>
    </w:rPr>
  </w:style>
  <w:style w:type="paragraph" w:styleId="Title">
    <w:name w:val="Title"/>
    <w:basedOn w:val="Normal"/>
    <w:next w:val="Normal"/>
    <w:link w:val="TitleChar"/>
    <w:uiPriority w:val="10"/>
    <w:qFormat/>
    <w:rsid w:val="00526E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6E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6E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6E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26E61"/>
    <w:pPr>
      <w:spacing w:before="160"/>
      <w:jc w:val="center"/>
    </w:pPr>
    <w:rPr>
      <w:i/>
      <w:iCs/>
      <w:color w:val="404040" w:themeColor="text1" w:themeTint="BF"/>
    </w:rPr>
  </w:style>
  <w:style w:type="character" w:customStyle="1" w:styleId="QuoteChar">
    <w:name w:val="Quote Char"/>
    <w:basedOn w:val="DefaultParagraphFont"/>
    <w:link w:val="Quote"/>
    <w:uiPriority w:val="29"/>
    <w:rsid w:val="00526E61"/>
    <w:rPr>
      <w:i/>
      <w:iCs/>
      <w:color w:val="404040" w:themeColor="text1" w:themeTint="BF"/>
    </w:rPr>
  </w:style>
  <w:style w:type="paragraph" w:styleId="ListParagraph">
    <w:name w:val="List Paragraph"/>
    <w:basedOn w:val="Normal"/>
    <w:link w:val="ListParagraphChar"/>
    <w:uiPriority w:val="34"/>
    <w:qFormat/>
    <w:rsid w:val="00526E61"/>
    <w:pPr>
      <w:ind w:left="720"/>
      <w:contextualSpacing/>
    </w:pPr>
  </w:style>
  <w:style w:type="character" w:styleId="IntenseEmphasis">
    <w:name w:val="Intense Emphasis"/>
    <w:basedOn w:val="DefaultParagraphFont"/>
    <w:uiPriority w:val="21"/>
    <w:qFormat/>
    <w:rsid w:val="00526E61"/>
    <w:rPr>
      <w:i/>
      <w:iCs/>
      <w:color w:val="0F4761" w:themeColor="accent1" w:themeShade="BF"/>
    </w:rPr>
  </w:style>
  <w:style w:type="paragraph" w:styleId="IntenseQuote">
    <w:name w:val="Intense Quote"/>
    <w:basedOn w:val="Normal"/>
    <w:next w:val="Normal"/>
    <w:link w:val="IntenseQuoteChar"/>
    <w:uiPriority w:val="30"/>
    <w:qFormat/>
    <w:rsid w:val="00526E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26E61"/>
    <w:rPr>
      <w:i/>
      <w:iCs/>
      <w:color w:val="0F4761" w:themeColor="accent1" w:themeShade="BF"/>
    </w:rPr>
  </w:style>
  <w:style w:type="character" w:styleId="IntenseReference">
    <w:name w:val="Intense Reference"/>
    <w:basedOn w:val="DefaultParagraphFont"/>
    <w:uiPriority w:val="32"/>
    <w:qFormat/>
    <w:rsid w:val="00526E61"/>
    <w:rPr>
      <w:b/>
      <w:bCs/>
      <w:smallCaps/>
      <w:color w:val="0F4761" w:themeColor="accent1" w:themeShade="BF"/>
      <w:spacing w:val="5"/>
    </w:rPr>
  </w:style>
  <w:style w:type="paragraph" w:customStyle="1" w:styleId="TableText">
    <w:name w:val="Table Text"/>
    <w:basedOn w:val="Normal"/>
    <w:rsid w:val="00526E61"/>
    <w:pPr>
      <w:keepLines/>
      <w:tabs>
        <w:tab w:val="left" w:pos="624"/>
        <w:tab w:val="left" w:pos="1247"/>
      </w:tabs>
      <w:snapToGrid w:val="0"/>
    </w:pPr>
    <w:rPr>
      <w:rFonts w:ascii="Arial" w:eastAsia="Arial Unicode MS" w:hAnsi="Arial"/>
      <w:snapToGrid w:val="0"/>
      <w:sz w:val="20"/>
      <w:szCs w:val="26"/>
    </w:rPr>
  </w:style>
  <w:style w:type="paragraph" w:customStyle="1" w:styleId="TableSideHeading">
    <w:name w:val="Table SideHeading"/>
    <w:basedOn w:val="TableText"/>
    <w:rsid w:val="00526E61"/>
    <w:pPr>
      <w:outlineLvl w:val="2"/>
    </w:pPr>
  </w:style>
  <w:style w:type="paragraph" w:customStyle="1" w:styleId="TableBlock">
    <w:name w:val="Table Block"/>
    <w:basedOn w:val="TableText"/>
    <w:rsid w:val="00526E61"/>
    <w:pPr>
      <w:jc w:val="both"/>
    </w:pPr>
  </w:style>
  <w:style w:type="paragraph" w:customStyle="1" w:styleId="HeadMitparsemetBaze">
    <w:name w:val="Head MitparsemetBaze"/>
    <w:basedOn w:val="Normal"/>
    <w:rsid w:val="00526E61"/>
    <w:pPr>
      <w:keepNext/>
      <w:keepLines/>
      <w:pageBreakBefore/>
      <w:snapToGrid w:val="0"/>
      <w:spacing w:before="480"/>
    </w:pPr>
    <w:rPr>
      <w:rFonts w:ascii="Arial" w:eastAsia="Arial Unicode MS" w:hAnsi="Arial"/>
      <w:b/>
      <w:bCs/>
      <w:snapToGrid w:val="0"/>
      <w:sz w:val="20"/>
      <w:szCs w:val="26"/>
    </w:rPr>
  </w:style>
  <w:style w:type="paragraph" w:customStyle="1" w:styleId="HeadHatzaotHok">
    <w:name w:val="Head HatzaotHok"/>
    <w:basedOn w:val="Normal"/>
    <w:rsid w:val="00526E61"/>
    <w:pPr>
      <w:keepNext/>
      <w:keepLines/>
      <w:snapToGrid w:val="0"/>
      <w:spacing w:before="240"/>
      <w:jc w:val="center"/>
      <w:outlineLvl w:val="0"/>
    </w:pPr>
    <w:rPr>
      <w:rFonts w:ascii="Arial" w:eastAsia="Arial Unicode MS" w:hAnsi="Arial"/>
      <w:b/>
      <w:bCs/>
      <w:snapToGrid w:val="0"/>
      <w:sz w:val="20"/>
      <w:szCs w:val="26"/>
    </w:rPr>
  </w:style>
  <w:style w:type="paragraph" w:customStyle="1" w:styleId="HeadDivreiHesber">
    <w:name w:val="Head DivreiHesber"/>
    <w:basedOn w:val="Normal"/>
    <w:rsid w:val="00526E61"/>
    <w:pPr>
      <w:snapToGrid w:val="0"/>
      <w:spacing w:before="360" w:after="120"/>
      <w:jc w:val="center"/>
      <w:outlineLvl w:val="1"/>
    </w:pPr>
    <w:rPr>
      <w:rFonts w:ascii="Arial" w:eastAsia="Arial Unicode MS" w:hAnsi="Arial"/>
      <w:b/>
      <w:snapToGrid w:val="0"/>
      <w:spacing w:val="40"/>
      <w:sz w:val="20"/>
      <w:szCs w:val="26"/>
    </w:rPr>
  </w:style>
  <w:style w:type="paragraph" w:styleId="FootnoteText">
    <w:name w:val="footnote text"/>
    <w:basedOn w:val="Normal"/>
    <w:link w:val="FootnoteTextChar"/>
    <w:autoRedefine/>
    <w:uiPriority w:val="99"/>
    <w:rsid w:val="00526E61"/>
    <w:pPr>
      <w:bidi/>
      <w:snapToGrid w:val="0"/>
      <w:spacing w:line="240" w:lineRule="auto"/>
    </w:pPr>
    <w:rPr>
      <w:rFonts w:ascii="Arial" w:eastAsia="Arial Unicode MS" w:hAnsi="Arial"/>
      <w:snapToGrid w:val="0"/>
      <w:sz w:val="14"/>
      <w:szCs w:val="20"/>
    </w:rPr>
  </w:style>
  <w:style w:type="character" w:customStyle="1" w:styleId="FootnoteTextChar">
    <w:name w:val="Footnote Text Char"/>
    <w:basedOn w:val="DefaultParagraphFont"/>
    <w:link w:val="FootnoteText"/>
    <w:uiPriority w:val="99"/>
    <w:rsid w:val="00526E61"/>
    <w:rPr>
      <w:rFonts w:ascii="Arial" w:eastAsia="Arial Unicode MS" w:hAnsi="Arial" w:cs="David"/>
      <w:snapToGrid w:val="0"/>
      <w:kern w:val="0"/>
      <w:sz w:val="14"/>
      <w:szCs w:val="20"/>
      <w14:ligatures w14:val="none"/>
    </w:rPr>
  </w:style>
  <w:style w:type="character" w:styleId="FootnoteReference">
    <w:name w:val="footnote reference"/>
    <w:basedOn w:val="DefaultParagraphFont"/>
    <w:uiPriority w:val="99"/>
    <w:rsid w:val="00526E61"/>
    <w:rPr>
      <w:vertAlign w:val="superscript"/>
    </w:rPr>
  </w:style>
  <w:style w:type="character" w:styleId="Hyperlink">
    <w:name w:val="Hyperlink"/>
    <w:basedOn w:val="DefaultParagraphFont"/>
    <w:uiPriority w:val="99"/>
    <w:unhideWhenUsed/>
    <w:rsid w:val="00526E61"/>
    <w:rPr>
      <w:color w:val="467886" w:themeColor="hyperlink"/>
      <w:u w:val="single"/>
    </w:rPr>
  </w:style>
  <w:style w:type="character" w:customStyle="1" w:styleId="ListParagraphChar">
    <w:name w:val="List Paragraph Char"/>
    <w:basedOn w:val="DefaultParagraphFont"/>
    <w:link w:val="ListParagraph"/>
    <w:uiPriority w:val="34"/>
    <w:rsid w:val="00526E61"/>
  </w:style>
  <w:style w:type="character" w:styleId="Strong">
    <w:name w:val="Strong"/>
    <w:basedOn w:val="DefaultParagraphFont"/>
    <w:uiPriority w:val="22"/>
    <w:qFormat/>
    <w:rsid w:val="00526E61"/>
    <w:rPr>
      <w:b/>
      <w:bCs/>
    </w:rPr>
  </w:style>
  <w:style w:type="character" w:styleId="Emphasis">
    <w:name w:val="Emphasis"/>
    <w:basedOn w:val="DefaultParagraphFont"/>
    <w:uiPriority w:val="20"/>
    <w:qFormat/>
    <w:rsid w:val="00526E61"/>
    <w:rPr>
      <w:i/>
      <w:iCs/>
    </w:rPr>
  </w:style>
  <w:style w:type="character" w:styleId="UnresolvedMention">
    <w:name w:val="Unresolved Mention"/>
    <w:basedOn w:val="DefaultParagraphFont"/>
    <w:uiPriority w:val="99"/>
    <w:semiHidden/>
    <w:unhideWhenUsed/>
    <w:rsid w:val="00526E61"/>
    <w:rPr>
      <w:color w:val="605E5C"/>
      <w:shd w:val="clear" w:color="auto" w:fill="E1DFDD"/>
    </w:rPr>
  </w:style>
  <w:style w:type="character" w:styleId="CommentReference">
    <w:name w:val="annotation reference"/>
    <w:basedOn w:val="DefaultParagraphFont"/>
    <w:uiPriority w:val="99"/>
    <w:semiHidden/>
    <w:unhideWhenUsed/>
    <w:rsid w:val="00762E73"/>
    <w:rPr>
      <w:sz w:val="16"/>
      <w:szCs w:val="16"/>
    </w:rPr>
  </w:style>
  <w:style w:type="paragraph" w:styleId="CommentText">
    <w:name w:val="annotation text"/>
    <w:basedOn w:val="Normal"/>
    <w:link w:val="CommentTextChar"/>
    <w:uiPriority w:val="99"/>
    <w:semiHidden/>
    <w:unhideWhenUsed/>
    <w:rsid w:val="00762E73"/>
    <w:pPr>
      <w:spacing w:line="240" w:lineRule="auto"/>
    </w:pPr>
    <w:rPr>
      <w:sz w:val="20"/>
      <w:szCs w:val="20"/>
    </w:rPr>
  </w:style>
  <w:style w:type="character" w:customStyle="1" w:styleId="CommentTextChar">
    <w:name w:val="Comment Text Char"/>
    <w:basedOn w:val="DefaultParagraphFont"/>
    <w:link w:val="CommentText"/>
    <w:uiPriority w:val="99"/>
    <w:semiHidden/>
    <w:rsid w:val="00762E73"/>
    <w:rPr>
      <w:rFonts w:ascii="David" w:hAnsi="David" w:cs="David"/>
      <w:kern w:val="0"/>
      <w:sz w:val="20"/>
      <w:szCs w:val="20"/>
      <w14:ligatures w14:val="none"/>
    </w:rPr>
  </w:style>
  <w:style w:type="paragraph" w:styleId="BalloonText">
    <w:name w:val="Balloon Text"/>
    <w:basedOn w:val="Normal"/>
    <w:link w:val="BalloonTextChar"/>
    <w:uiPriority w:val="99"/>
    <w:semiHidden/>
    <w:unhideWhenUsed/>
    <w:rsid w:val="00187A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7AA6"/>
    <w:rPr>
      <w:rFonts w:ascii="Segoe UI" w:hAnsi="Segoe UI" w:cs="Segoe UI"/>
      <w:kern w:val="0"/>
      <w:sz w:val="18"/>
      <w:szCs w:val="18"/>
      <w14:ligatures w14:val="none"/>
    </w:rPr>
  </w:style>
  <w:style w:type="paragraph" w:styleId="CommentSubject">
    <w:name w:val="annotation subject"/>
    <w:basedOn w:val="CommentText"/>
    <w:next w:val="CommentText"/>
    <w:link w:val="CommentSubjectChar"/>
    <w:uiPriority w:val="99"/>
    <w:semiHidden/>
    <w:unhideWhenUsed/>
    <w:rsid w:val="00534EF6"/>
    <w:rPr>
      <w:b/>
      <w:bCs/>
    </w:rPr>
  </w:style>
  <w:style w:type="character" w:customStyle="1" w:styleId="CommentSubjectChar">
    <w:name w:val="Comment Subject Char"/>
    <w:basedOn w:val="CommentTextChar"/>
    <w:link w:val="CommentSubject"/>
    <w:uiPriority w:val="99"/>
    <w:semiHidden/>
    <w:rsid w:val="00534EF6"/>
    <w:rPr>
      <w:rFonts w:ascii="David" w:hAnsi="David" w:cs="David"/>
      <w:b/>
      <w:bCs/>
      <w:kern w:val="0"/>
      <w:sz w:val="20"/>
      <w:szCs w:val="20"/>
      <w14:ligatures w14:val="none"/>
    </w:rPr>
  </w:style>
  <w:style w:type="paragraph" w:styleId="Revision">
    <w:name w:val="Revision"/>
    <w:hidden/>
    <w:uiPriority w:val="99"/>
    <w:semiHidden/>
    <w:rsid w:val="00F675EC"/>
    <w:pPr>
      <w:spacing w:after="0" w:line="240" w:lineRule="auto"/>
    </w:pPr>
    <w:rPr>
      <w:rFonts w:ascii="David" w:hAnsi="David" w:cs="David"/>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666646">
      <w:bodyDiv w:val="1"/>
      <w:marLeft w:val="0"/>
      <w:marRight w:val="0"/>
      <w:marTop w:val="0"/>
      <w:marBottom w:val="0"/>
      <w:divBdr>
        <w:top w:val="none" w:sz="0" w:space="0" w:color="auto"/>
        <w:left w:val="none" w:sz="0" w:space="0" w:color="auto"/>
        <w:bottom w:val="none" w:sz="0" w:space="0" w:color="auto"/>
        <w:right w:val="none" w:sz="0" w:space="0" w:color="auto"/>
      </w:divBdr>
    </w:div>
    <w:div w:id="661198362">
      <w:bodyDiv w:val="1"/>
      <w:marLeft w:val="0"/>
      <w:marRight w:val="0"/>
      <w:marTop w:val="0"/>
      <w:marBottom w:val="0"/>
      <w:divBdr>
        <w:top w:val="none" w:sz="0" w:space="0" w:color="auto"/>
        <w:left w:val="none" w:sz="0" w:space="0" w:color="auto"/>
        <w:bottom w:val="none" w:sz="0" w:space="0" w:color="auto"/>
        <w:right w:val="none" w:sz="0" w:space="0" w:color="auto"/>
      </w:divBdr>
    </w:div>
    <w:div w:id="747922324">
      <w:bodyDiv w:val="1"/>
      <w:marLeft w:val="0"/>
      <w:marRight w:val="0"/>
      <w:marTop w:val="0"/>
      <w:marBottom w:val="0"/>
      <w:divBdr>
        <w:top w:val="none" w:sz="0" w:space="0" w:color="auto"/>
        <w:left w:val="none" w:sz="0" w:space="0" w:color="auto"/>
        <w:bottom w:val="none" w:sz="0" w:space="0" w:color="auto"/>
        <w:right w:val="none" w:sz="0" w:space="0" w:color="auto"/>
      </w:divBdr>
    </w:div>
    <w:div w:id="801577256">
      <w:bodyDiv w:val="1"/>
      <w:marLeft w:val="0"/>
      <w:marRight w:val="0"/>
      <w:marTop w:val="0"/>
      <w:marBottom w:val="0"/>
      <w:divBdr>
        <w:top w:val="none" w:sz="0" w:space="0" w:color="auto"/>
        <w:left w:val="none" w:sz="0" w:space="0" w:color="auto"/>
        <w:bottom w:val="none" w:sz="0" w:space="0" w:color="auto"/>
        <w:right w:val="none" w:sz="0" w:space="0" w:color="auto"/>
      </w:divBdr>
    </w:div>
    <w:div w:id="1260337053">
      <w:bodyDiv w:val="1"/>
      <w:marLeft w:val="0"/>
      <w:marRight w:val="0"/>
      <w:marTop w:val="0"/>
      <w:marBottom w:val="0"/>
      <w:divBdr>
        <w:top w:val="none" w:sz="0" w:space="0" w:color="auto"/>
        <w:left w:val="none" w:sz="0" w:space="0" w:color="auto"/>
        <w:bottom w:val="none" w:sz="0" w:space="0" w:color="auto"/>
        <w:right w:val="none" w:sz="0" w:space="0" w:color="auto"/>
      </w:divBdr>
    </w:div>
    <w:div w:id="1374888127">
      <w:bodyDiv w:val="1"/>
      <w:marLeft w:val="0"/>
      <w:marRight w:val="0"/>
      <w:marTop w:val="0"/>
      <w:marBottom w:val="0"/>
      <w:divBdr>
        <w:top w:val="none" w:sz="0" w:space="0" w:color="auto"/>
        <w:left w:val="none" w:sz="0" w:space="0" w:color="auto"/>
        <w:bottom w:val="none" w:sz="0" w:space="0" w:color="auto"/>
        <w:right w:val="none" w:sz="0" w:space="0" w:color="auto"/>
      </w:divBdr>
    </w:div>
    <w:div w:id="1616062973">
      <w:bodyDiv w:val="1"/>
      <w:marLeft w:val="0"/>
      <w:marRight w:val="0"/>
      <w:marTop w:val="0"/>
      <w:marBottom w:val="0"/>
      <w:divBdr>
        <w:top w:val="none" w:sz="0" w:space="0" w:color="auto"/>
        <w:left w:val="none" w:sz="0" w:space="0" w:color="auto"/>
        <w:bottom w:val="none" w:sz="0" w:space="0" w:color="auto"/>
        <w:right w:val="none" w:sz="0" w:space="0" w:color="auto"/>
      </w:divBdr>
    </w:div>
    <w:div w:id="1830947917">
      <w:bodyDiv w:val="1"/>
      <w:marLeft w:val="0"/>
      <w:marRight w:val="0"/>
      <w:marTop w:val="0"/>
      <w:marBottom w:val="0"/>
      <w:divBdr>
        <w:top w:val="none" w:sz="0" w:space="0" w:color="auto"/>
        <w:left w:val="none" w:sz="0" w:space="0" w:color="auto"/>
        <w:bottom w:val="none" w:sz="0" w:space="0" w:color="auto"/>
        <w:right w:val="none" w:sz="0" w:space="0" w:color="auto"/>
      </w:divBdr>
    </w:div>
    <w:div w:id="207496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1306</Words>
  <Characters>6532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Noa Cohen</dc:creator>
  <cp:keywords/>
  <dc:description/>
  <cp:lastModifiedBy>Melita Shafir</cp:lastModifiedBy>
  <cp:revision>2</cp:revision>
  <dcterms:created xsi:type="dcterms:W3CDTF">2025-10-01T13:30:00Z</dcterms:created>
  <dcterms:modified xsi:type="dcterms:W3CDTF">2025-10-01T13:30:00Z</dcterms:modified>
</cp:coreProperties>
</file>